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2128F" w14:textId="77777777" w:rsidR="002340E1" w:rsidRPr="004D6136" w:rsidRDefault="002340E1" w:rsidP="002340E1">
      <w:pPr>
        <w:spacing w:line="276" w:lineRule="auto"/>
        <w:jc w:val="center"/>
        <w:rPr>
          <w:rFonts w:ascii="Times New Roman" w:hAnsi="Times New Roman" w:cs="Times New Roman"/>
          <w:b/>
          <w:color w:val="000000" w:themeColor="text1"/>
          <w:lang w:val="ro-MD"/>
        </w:rPr>
      </w:pPr>
      <w:r w:rsidRPr="004D6136">
        <w:rPr>
          <w:rFonts w:ascii="Times New Roman" w:hAnsi="Times New Roman" w:cs="Times New Roman"/>
          <w:b/>
          <w:color w:val="000000" w:themeColor="text1"/>
          <w:lang w:val="ro-MD"/>
        </w:rPr>
        <w:t>Tabel de concordanță</w:t>
      </w:r>
    </w:p>
    <w:tbl>
      <w:tblPr>
        <w:tblW w:w="5446" w:type="pct"/>
        <w:jc w:val="center"/>
        <w:tblCellMar>
          <w:top w:w="15" w:type="dxa"/>
          <w:left w:w="15" w:type="dxa"/>
          <w:bottom w:w="15" w:type="dxa"/>
          <w:right w:w="15" w:type="dxa"/>
        </w:tblCellMar>
        <w:tblLook w:val="04A0" w:firstRow="1" w:lastRow="0" w:firstColumn="1" w:lastColumn="0" w:noHBand="0" w:noVBand="1"/>
      </w:tblPr>
      <w:tblGrid>
        <w:gridCol w:w="15852"/>
      </w:tblGrid>
      <w:tr w:rsidR="002340E1" w:rsidRPr="004D6136" w14:paraId="49BBEC5B" w14:textId="77777777" w:rsidTr="00287C67">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EBEAF" w14:textId="1595F285" w:rsidR="002340E1" w:rsidRPr="004D6136" w:rsidRDefault="002340E1" w:rsidP="00287C67">
            <w:pPr>
              <w:spacing w:after="0" w:line="276" w:lineRule="auto"/>
              <w:jc w:val="both"/>
              <w:rPr>
                <w:rFonts w:ascii="Times New Roman" w:eastAsia="Times New Roman" w:hAnsi="Times New Roman" w:cs="Times New Roman"/>
                <w:b/>
                <w:color w:val="000000" w:themeColor="text1"/>
                <w:lang w:val="ro-MD"/>
              </w:rPr>
            </w:pPr>
            <w:r w:rsidRPr="004D6136">
              <w:rPr>
                <w:rFonts w:ascii="Times New Roman" w:eastAsia="Times New Roman" w:hAnsi="Times New Roman" w:cs="Times New Roman"/>
                <w:b/>
                <w:color w:val="000000" w:themeColor="text1"/>
                <w:lang w:val="ro-MD"/>
              </w:rPr>
              <w:t xml:space="preserve">1. </w:t>
            </w:r>
            <w:r w:rsidR="000A2F4D" w:rsidRPr="004D6136">
              <w:rPr>
                <w:rFonts w:ascii="Times New Roman" w:eastAsia="Times New Roman" w:hAnsi="Times New Roman" w:cs="Times New Roman"/>
                <w:b/>
                <w:color w:val="000000" w:themeColor="text1"/>
                <w:lang w:val="ro-MD"/>
              </w:rPr>
              <w:t xml:space="preserve">Titlul actului UE, inclusiv cea mai recentă modificare, </w:t>
            </w:r>
            <w:proofErr w:type="spellStart"/>
            <w:r w:rsidR="000A2F4D" w:rsidRPr="004D6136">
              <w:rPr>
                <w:rFonts w:ascii="Times New Roman" w:eastAsia="Times New Roman" w:hAnsi="Times New Roman" w:cs="Times New Roman"/>
                <w:b/>
                <w:color w:val="000000" w:themeColor="text1"/>
                <w:lang w:val="ro-MD"/>
              </w:rPr>
              <w:t>nr.CELEX</w:t>
            </w:r>
            <w:proofErr w:type="spellEnd"/>
          </w:p>
          <w:p w14:paraId="6AC60508" w14:textId="77777777" w:rsidR="002340E1" w:rsidRPr="004D6136" w:rsidRDefault="002340E1" w:rsidP="00287C67">
            <w:pPr>
              <w:spacing w:after="0" w:line="276" w:lineRule="auto"/>
              <w:jc w:val="both"/>
              <w:rPr>
                <w:rFonts w:ascii="Times New Roman" w:eastAsia="Times New Roman" w:hAnsi="Times New Roman" w:cs="Times New Roman"/>
                <w:color w:val="000000" w:themeColor="text1"/>
                <w:lang w:val="ro-MD"/>
              </w:rPr>
            </w:pPr>
          </w:p>
        </w:tc>
      </w:tr>
      <w:tr w:rsidR="00B8056D" w:rsidRPr="004D6136" w14:paraId="19351343" w14:textId="77777777" w:rsidTr="00287C67">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6740FD" w14:textId="2780EB9E" w:rsidR="00B8056D" w:rsidRPr="004D6136" w:rsidRDefault="00B8056D" w:rsidP="00B8056D">
            <w:pPr>
              <w:spacing w:line="276" w:lineRule="auto"/>
              <w:jc w:val="both"/>
              <w:rPr>
                <w:rFonts w:ascii="Times New Roman" w:hAnsi="Times New Roman" w:cs="Times New Roman"/>
                <w:color w:val="000000" w:themeColor="text1"/>
                <w:lang w:val="ro-RO"/>
              </w:rPr>
            </w:pPr>
            <w:r w:rsidRPr="004D6136">
              <w:rPr>
                <w:rFonts w:ascii="Times New Roman" w:hAnsi="Times New Roman" w:cs="Times New Roman"/>
                <w:b/>
                <w:color w:val="000000" w:themeColor="text1"/>
                <w:u w:val="single"/>
                <w:lang w:val="ro-MD"/>
              </w:rPr>
              <w:t>REGULAMENTUL NR. 575/2013 AL PARLAMENTULUI EUROPEAN ȘI AL CONSILIULUI din 26 iunie 2013 privind cerințele prudențiale pentru instituțiile de credit și firmele de investiții și de modificare a Regulamentului (UE) nr. 648/2012</w:t>
            </w:r>
            <w:r w:rsidRPr="004D6136">
              <w:rPr>
                <w:rFonts w:ascii="Times New Roman" w:hAnsi="Times New Roman" w:cs="Times New Roman"/>
                <w:b/>
                <w:color w:val="000000" w:themeColor="text1"/>
                <w:u w:val="single"/>
                <w:lang w:val="it-IT"/>
              </w:rPr>
              <w:t xml:space="preserve"> publicat în Jurnalul Oficial al Uniunii Europene nr. L 176 din 27 iunie 2013, </w:t>
            </w:r>
            <w:bookmarkStart w:id="0" w:name="_Hlk172636666"/>
            <w:r w:rsidRPr="004D6136">
              <w:rPr>
                <w:rFonts w:ascii="Times New Roman" w:hAnsi="Times New Roman" w:cs="Times New Roman"/>
                <w:b/>
                <w:color w:val="000000" w:themeColor="text1"/>
                <w:u w:val="single"/>
                <w:lang w:val="ro-MD"/>
              </w:rPr>
              <w:t>CELEX: 32013R0575</w:t>
            </w:r>
            <w:bookmarkEnd w:id="0"/>
            <w:r w:rsidR="00B80A00" w:rsidRPr="004D6136">
              <w:rPr>
                <w:rFonts w:ascii="Times New Roman" w:hAnsi="Times New Roman" w:cs="Times New Roman"/>
                <w:b/>
                <w:color w:val="000000" w:themeColor="text1"/>
                <w:u w:val="single"/>
                <w:lang w:val="ro-MD"/>
              </w:rPr>
              <w:t xml:space="preserve"> </w:t>
            </w:r>
            <w:r w:rsidRPr="004D6136">
              <w:rPr>
                <w:rFonts w:ascii="Times New Roman" w:hAnsi="Times New Roman" w:cs="Times New Roman"/>
                <w:b/>
                <w:color w:val="000000" w:themeColor="text1"/>
                <w:u w:val="single"/>
                <w:lang w:val="ro-MD"/>
              </w:rPr>
              <w:t>,</w:t>
            </w:r>
            <w:r w:rsidR="00B80A00" w:rsidRPr="004D6136">
              <w:rPr>
                <w:rFonts w:ascii="Times New Roman" w:hAnsi="Times New Roman" w:cs="Times New Roman"/>
                <w:b/>
                <w:color w:val="000000" w:themeColor="text1"/>
                <w:u w:val="single"/>
                <w:lang w:val="ro-MD"/>
              </w:rPr>
              <w:t xml:space="preserve"> </w:t>
            </w:r>
            <w:r w:rsidRPr="004D6136">
              <w:rPr>
                <w:rFonts w:ascii="Times New Roman" w:hAnsi="Times New Roman" w:cs="Times New Roman"/>
                <w:b/>
                <w:color w:val="000000" w:themeColor="text1"/>
                <w:u w:val="single"/>
                <w:lang w:val="it-IT"/>
              </w:rPr>
              <w:t xml:space="preserve">așa cum a fost modificat </w:t>
            </w:r>
            <w:r w:rsidRPr="004D6136">
              <w:rPr>
                <w:rFonts w:ascii="Times New Roman" w:hAnsi="Times New Roman" w:cs="Times New Roman"/>
                <w:b/>
                <w:color w:val="000000" w:themeColor="text1"/>
                <w:u w:val="single"/>
                <w:lang w:val="ro-MD"/>
              </w:rPr>
              <w:t xml:space="preserve">ultima dată </w:t>
            </w:r>
            <w:r w:rsidRPr="004D6136">
              <w:rPr>
                <w:rFonts w:ascii="Times New Roman" w:hAnsi="Times New Roman" w:cs="Times New Roman"/>
                <w:b/>
                <w:color w:val="000000" w:themeColor="text1"/>
                <w:u w:val="single"/>
                <w:lang w:val="it-IT"/>
              </w:rPr>
              <w:t xml:space="preserve">prin Regulamentul (UE) </w:t>
            </w:r>
            <w:r w:rsidR="00F62243" w:rsidRPr="004D6136">
              <w:rPr>
                <w:rFonts w:ascii="Times New Roman" w:hAnsi="Times New Roman" w:cs="Times New Roman"/>
                <w:b/>
                <w:color w:val="000000" w:themeColor="text1"/>
                <w:u w:val="single"/>
                <w:lang w:val="it-IT"/>
              </w:rPr>
              <w:t>2024/1623</w:t>
            </w:r>
            <w:r w:rsidRPr="004D6136">
              <w:rPr>
                <w:rFonts w:ascii="Times New Roman" w:hAnsi="Times New Roman" w:cs="Times New Roman"/>
                <w:b/>
                <w:color w:val="000000" w:themeColor="text1"/>
                <w:u w:val="single"/>
                <w:lang w:val="it-IT"/>
              </w:rPr>
              <w:t xml:space="preserve"> al Parlamentului European și al Consiliului din </w:t>
            </w:r>
            <w:r w:rsidR="00F62243" w:rsidRPr="004D6136">
              <w:rPr>
                <w:rFonts w:ascii="Times New Roman" w:hAnsi="Times New Roman" w:cs="Times New Roman"/>
                <w:b/>
                <w:color w:val="000000" w:themeColor="text1"/>
                <w:u w:val="single"/>
                <w:lang w:val="it-IT"/>
              </w:rPr>
              <w:t>31</w:t>
            </w:r>
            <w:r w:rsidRPr="004D6136">
              <w:rPr>
                <w:rFonts w:ascii="Times New Roman" w:hAnsi="Times New Roman" w:cs="Times New Roman"/>
                <w:b/>
                <w:color w:val="000000" w:themeColor="text1"/>
                <w:u w:val="single"/>
                <w:lang w:val="it-IT"/>
              </w:rPr>
              <w:t xml:space="preserve"> mai 20</w:t>
            </w:r>
            <w:r w:rsidR="009D1982" w:rsidRPr="004D6136">
              <w:rPr>
                <w:rFonts w:ascii="Times New Roman" w:hAnsi="Times New Roman" w:cs="Times New Roman"/>
                <w:b/>
                <w:color w:val="000000" w:themeColor="text1"/>
                <w:u w:val="single"/>
                <w:lang w:val="it-IT"/>
              </w:rPr>
              <w:t>24</w:t>
            </w:r>
          </w:p>
        </w:tc>
      </w:tr>
      <w:tr w:rsidR="002340E1" w:rsidRPr="004D6136" w14:paraId="7B68DDFD" w14:textId="77777777" w:rsidTr="00287C67">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0B3A7" w14:textId="6E725441" w:rsidR="002340E1" w:rsidRPr="004D6136" w:rsidRDefault="002340E1" w:rsidP="00287C67">
            <w:pPr>
              <w:tabs>
                <w:tab w:val="left" w:pos="5088"/>
              </w:tabs>
              <w:spacing w:after="0" w:line="276" w:lineRule="auto"/>
              <w:jc w:val="both"/>
              <w:rPr>
                <w:rFonts w:ascii="Times New Roman" w:eastAsia="Times New Roman" w:hAnsi="Times New Roman" w:cs="Times New Roman"/>
                <w:b/>
                <w:color w:val="000000" w:themeColor="text1"/>
                <w:lang w:val="ro-MD"/>
              </w:rPr>
            </w:pPr>
            <w:r w:rsidRPr="004D6136">
              <w:rPr>
                <w:rFonts w:ascii="Times New Roman" w:eastAsia="Times New Roman" w:hAnsi="Times New Roman" w:cs="Times New Roman"/>
                <w:b/>
                <w:color w:val="000000" w:themeColor="text1"/>
                <w:lang w:val="ro-MD"/>
              </w:rPr>
              <w:t xml:space="preserve">2. </w:t>
            </w:r>
            <w:r w:rsidR="000A2F4D" w:rsidRPr="004D6136">
              <w:rPr>
                <w:rFonts w:ascii="Times New Roman" w:eastAsia="Times New Roman" w:hAnsi="Times New Roman" w:cs="Times New Roman"/>
                <w:b/>
                <w:color w:val="000000" w:themeColor="text1"/>
                <w:lang w:val="ro-MD"/>
              </w:rPr>
              <w:t xml:space="preserve">Titlul proiectului de act normativ </w:t>
            </w:r>
            <w:proofErr w:type="spellStart"/>
            <w:r w:rsidR="000A2F4D" w:rsidRPr="004D6136">
              <w:rPr>
                <w:rFonts w:ascii="Times New Roman" w:eastAsia="Times New Roman" w:hAnsi="Times New Roman" w:cs="Times New Roman"/>
                <w:b/>
                <w:color w:val="000000" w:themeColor="text1"/>
                <w:lang w:val="ro-MD"/>
              </w:rPr>
              <w:t>naţional</w:t>
            </w:r>
            <w:proofErr w:type="spellEnd"/>
          </w:p>
        </w:tc>
      </w:tr>
      <w:tr w:rsidR="002340E1" w:rsidRPr="004D6136" w14:paraId="1BDA3B53" w14:textId="77777777" w:rsidTr="00287C67">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2CC3E8" w14:textId="18D41DFC" w:rsidR="002340E1" w:rsidRPr="004D6136" w:rsidRDefault="002340E1" w:rsidP="00B8056D">
            <w:pPr>
              <w:tabs>
                <w:tab w:val="left" w:pos="5088"/>
              </w:tabs>
              <w:spacing w:after="0" w:line="276" w:lineRule="auto"/>
              <w:jc w:val="both"/>
              <w:rPr>
                <w:rFonts w:ascii="Times New Roman" w:hAnsi="Times New Roman" w:cs="Times New Roman"/>
                <w:color w:val="000000" w:themeColor="text1"/>
                <w:u w:val="single"/>
                <w:lang w:val="ro-MD"/>
              </w:rPr>
            </w:pPr>
            <w:r w:rsidRPr="004D6136">
              <w:rPr>
                <w:rFonts w:ascii="Times New Roman" w:hAnsi="Times New Roman" w:cs="Times New Roman"/>
                <w:color w:val="000000" w:themeColor="text1"/>
                <w:u w:val="single"/>
                <w:lang w:val="ro-MD"/>
              </w:rPr>
              <w:t xml:space="preserve">Regulamentul privind </w:t>
            </w:r>
            <w:r w:rsidR="00C1591B" w:rsidRPr="004D6136">
              <w:rPr>
                <w:rFonts w:ascii="Times New Roman" w:hAnsi="Times New Roman" w:cs="Times New Roman"/>
                <w:color w:val="000000" w:themeColor="text1"/>
                <w:u w:val="single"/>
                <w:lang w:val="ro-MD"/>
              </w:rPr>
              <w:t>efectul de levier</w:t>
            </w:r>
            <w:r w:rsidR="00B8056D" w:rsidRPr="004D6136">
              <w:rPr>
                <w:rFonts w:ascii="Times New Roman" w:hAnsi="Times New Roman" w:cs="Times New Roman"/>
                <w:color w:val="000000" w:themeColor="text1"/>
                <w:u w:val="single"/>
                <w:lang w:val="ro-MD"/>
              </w:rPr>
              <w:t xml:space="preserve">, aprobat prin Hotărârea Comitetului executiv al Băncii Naționale a Moldovei </w:t>
            </w:r>
            <w:proofErr w:type="spellStart"/>
            <w:r w:rsidR="00B8056D" w:rsidRPr="004D6136">
              <w:rPr>
                <w:rFonts w:ascii="Times New Roman" w:hAnsi="Times New Roman" w:cs="Times New Roman"/>
                <w:color w:val="000000" w:themeColor="text1"/>
                <w:u w:val="single"/>
                <w:lang w:val="ro-MD"/>
              </w:rPr>
              <w:t>nr.XX</w:t>
            </w:r>
            <w:proofErr w:type="spellEnd"/>
            <w:r w:rsidR="00B8056D" w:rsidRPr="004D6136">
              <w:rPr>
                <w:rFonts w:ascii="Times New Roman" w:hAnsi="Times New Roman" w:cs="Times New Roman"/>
                <w:color w:val="000000" w:themeColor="text1"/>
                <w:u w:val="single"/>
                <w:lang w:val="ro-MD"/>
              </w:rPr>
              <w:t xml:space="preserve"> din XX.XX.2025</w:t>
            </w:r>
          </w:p>
          <w:p w14:paraId="79646742" w14:textId="77777777" w:rsidR="002340E1" w:rsidRPr="004D6136" w:rsidRDefault="002340E1" w:rsidP="00287C67">
            <w:pPr>
              <w:tabs>
                <w:tab w:val="left" w:pos="5088"/>
              </w:tabs>
              <w:spacing w:after="0" w:line="276" w:lineRule="auto"/>
              <w:jc w:val="both"/>
              <w:rPr>
                <w:rFonts w:ascii="Times New Roman" w:hAnsi="Times New Roman" w:cs="Times New Roman"/>
                <w:color w:val="000000" w:themeColor="text1"/>
                <w:lang w:val="ro-MD"/>
              </w:rPr>
            </w:pPr>
          </w:p>
        </w:tc>
      </w:tr>
      <w:tr w:rsidR="002340E1" w:rsidRPr="004D6136" w14:paraId="3325D0B5" w14:textId="77777777" w:rsidTr="00287C67">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2ABCE" w14:textId="77777777" w:rsidR="002340E1" w:rsidRPr="004D6136" w:rsidRDefault="002340E1" w:rsidP="00287C67">
            <w:pPr>
              <w:spacing w:after="0" w:line="276" w:lineRule="auto"/>
              <w:jc w:val="both"/>
              <w:rPr>
                <w:rFonts w:ascii="Times New Roman" w:eastAsia="Times New Roman" w:hAnsi="Times New Roman" w:cs="Times New Roman"/>
                <w:b/>
                <w:color w:val="000000" w:themeColor="text1"/>
                <w:lang w:val="ro-MD"/>
              </w:rPr>
            </w:pPr>
            <w:r w:rsidRPr="004D6136">
              <w:rPr>
                <w:rFonts w:ascii="Times New Roman" w:eastAsia="Times New Roman" w:hAnsi="Times New Roman" w:cs="Times New Roman"/>
                <w:b/>
                <w:color w:val="000000" w:themeColor="text1"/>
                <w:lang w:val="ro-MD"/>
              </w:rPr>
              <w:t>3. Gradul general de compatibilitate</w:t>
            </w:r>
            <w:r w:rsidRPr="004D6136">
              <w:rPr>
                <w:rFonts w:ascii="Times New Roman" w:eastAsia="Times New Roman" w:hAnsi="Times New Roman" w:cs="Times New Roman"/>
                <w:color w:val="000000" w:themeColor="text1"/>
                <w:lang w:val="ro-MD"/>
              </w:rPr>
              <w:t>– Parțial compatibil</w:t>
            </w:r>
          </w:p>
        </w:tc>
      </w:tr>
      <w:tr w:rsidR="000A2F4D" w:rsidRPr="004D6136" w14:paraId="47EFDA94" w14:textId="77777777" w:rsidTr="00287C67">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B1ED77" w14:textId="0AA88888" w:rsidR="000A2F4D" w:rsidRPr="004D6136" w:rsidRDefault="000A2F4D" w:rsidP="00287C67">
            <w:pPr>
              <w:spacing w:after="0" w:line="276" w:lineRule="auto"/>
              <w:jc w:val="both"/>
              <w:rPr>
                <w:rFonts w:ascii="Times New Roman" w:eastAsia="Times New Roman" w:hAnsi="Times New Roman" w:cs="Times New Roman"/>
                <w:b/>
                <w:color w:val="000000" w:themeColor="text1"/>
                <w:lang w:val="ro-MD"/>
              </w:rPr>
            </w:pPr>
            <w:r w:rsidRPr="004D6136">
              <w:rPr>
                <w:rFonts w:ascii="Times New Roman" w:eastAsia="Times New Roman" w:hAnsi="Times New Roman" w:cs="Times New Roman"/>
                <w:b/>
                <w:color w:val="000000" w:themeColor="text1"/>
                <w:lang w:val="ro-MD"/>
              </w:rPr>
              <w:t>4. Autoritatea/persoana responsabilă</w:t>
            </w:r>
          </w:p>
        </w:tc>
      </w:tr>
      <w:tr w:rsidR="000A2F4D" w:rsidRPr="004D6136" w14:paraId="1FA7A502" w14:textId="77777777" w:rsidTr="00287C67">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987405" w14:textId="107E5615" w:rsidR="000A2F4D" w:rsidRPr="004D6136" w:rsidRDefault="000A2F4D" w:rsidP="00287C67">
            <w:pPr>
              <w:spacing w:after="0" w:line="276" w:lineRule="auto"/>
              <w:jc w:val="both"/>
              <w:rPr>
                <w:rFonts w:ascii="Times New Roman" w:eastAsia="Times New Roman" w:hAnsi="Times New Roman" w:cs="Times New Roman"/>
                <w:b/>
                <w:color w:val="000000" w:themeColor="text1"/>
                <w:lang w:val="ro-MD"/>
              </w:rPr>
            </w:pPr>
            <w:r w:rsidRPr="004D6136">
              <w:rPr>
                <w:rFonts w:ascii="Times New Roman" w:eastAsia="Times New Roman" w:hAnsi="Times New Roman" w:cs="Times New Roman"/>
                <w:b/>
                <w:color w:val="000000" w:themeColor="text1"/>
                <w:lang w:val="ro-MD"/>
              </w:rPr>
              <w:t>5. Data întocmirii/actualizării</w:t>
            </w:r>
          </w:p>
        </w:tc>
      </w:tr>
    </w:tbl>
    <w:p w14:paraId="4CC4858C" w14:textId="77777777" w:rsidR="002340E1" w:rsidRPr="004D6136" w:rsidRDefault="002340E1" w:rsidP="002340E1">
      <w:pPr>
        <w:spacing w:line="276" w:lineRule="auto"/>
        <w:jc w:val="both"/>
        <w:rPr>
          <w:rFonts w:ascii="Times New Roman" w:hAnsi="Times New Roman" w:cs="Times New Roman"/>
          <w:color w:val="000000" w:themeColor="text1"/>
          <w:lang w:val="ro-MD"/>
        </w:rPr>
      </w:pPr>
    </w:p>
    <w:tbl>
      <w:tblPr>
        <w:tblW w:w="5406" w:type="pct"/>
        <w:tblInd w:w="-579" w:type="dxa"/>
        <w:tblLayout w:type="fixed"/>
        <w:tblLook w:val="01E0" w:firstRow="1" w:lastRow="1" w:firstColumn="1" w:lastColumn="1" w:noHBand="0" w:noVBand="0"/>
      </w:tblPr>
      <w:tblGrid>
        <w:gridCol w:w="5028"/>
        <w:gridCol w:w="4902"/>
        <w:gridCol w:w="1842"/>
        <w:gridCol w:w="3970"/>
      </w:tblGrid>
      <w:tr w:rsidR="000A2F4D" w:rsidRPr="004D6136" w14:paraId="00676FC1" w14:textId="77777777" w:rsidTr="000A2F4D">
        <w:trPr>
          <w:tblHeader/>
        </w:trPr>
        <w:tc>
          <w:tcPr>
            <w:tcW w:w="1597" w:type="pct"/>
            <w:tcBorders>
              <w:top w:val="single" w:sz="4" w:space="0" w:color="auto"/>
              <w:left w:val="single" w:sz="4" w:space="0" w:color="auto"/>
              <w:bottom w:val="single" w:sz="4" w:space="0" w:color="auto"/>
              <w:right w:val="single" w:sz="4" w:space="0" w:color="auto"/>
            </w:tcBorders>
            <w:vAlign w:val="center"/>
          </w:tcPr>
          <w:p w14:paraId="2A4424E0" w14:textId="77777777" w:rsidR="000A2F4D" w:rsidRPr="004D6136" w:rsidRDefault="000A2F4D" w:rsidP="00287C67">
            <w:pPr>
              <w:spacing w:line="276" w:lineRule="auto"/>
              <w:jc w:val="center"/>
              <w:rPr>
                <w:rFonts w:ascii="Times New Roman" w:hAnsi="Times New Roman" w:cs="Times New Roman"/>
                <w:b/>
                <w:color w:val="000000" w:themeColor="text1"/>
                <w:lang w:val="ro-MD"/>
              </w:rPr>
            </w:pPr>
            <w:r w:rsidRPr="004D6136">
              <w:rPr>
                <w:rFonts w:ascii="Times New Roman" w:eastAsia="Times New Roman" w:hAnsi="Times New Roman" w:cs="Times New Roman"/>
                <w:b/>
                <w:color w:val="000000" w:themeColor="text1"/>
                <w:lang w:val="ro-MD"/>
              </w:rPr>
              <w:t>Actul Uniunii Europene</w:t>
            </w:r>
          </w:p>
        </w:tc>
        <w:tc>
          <w:tcPr>
            <w:tcW w:w="1557" w:type="pct"/>
            <w:tcBorders>
              <w:top w:val="single" w:sz="4" w:space="0" w:color="auto"/>
              <w:left w:val="single" w:sz="4" w:space="0" w:color="auto"/>
              <w:bottom w:val="single" w:sz="4" w:space="0" w:color="auto"/>
              <w:right w:val="single" w:sz="4" w:space="0" w:color="auto"/>
            </w:tcBorders>
            <w:vAlign w:val="center"/>
          </w:tcPr>
          <w:p w14:paraId="70036BC6" w14:textId="77777777" w:rsidR="000A2F4D" w:rsidRPr="004D6136" w:rsidRDefault="000A2F4D" w:rsidP="000A2F4D">
            <w:pPr>
              <w:spacing w:line="276" w:lineRule="auto"/>
              <w:jc w:val="center"/>
              <w:rPr>
                <w:rFonts w:ascii="Times New Roman" w:eastAsia="Times New Roman" w:hAnsi="Times New Roman" w:cs="Times New Roman"/>
                <w:b/>
                <w:color w:val="000000" w:themeColor="text1"/>
                <w:lang w:val="ro-MD"/>
              </w:rPr>
            </w:pPr>
            <w:r w:rsidRPr="004D6136">
              <w:rPr>
                <w:rFonts w:ascii="Times New Roman" w:eastAsia="Times New Roman" w:hAnsi="Times New Roman" w:cs="Times New Roman"/>
                <w:b/>
                <w:color w:val="000000" w:themeColor="text1"/>
                <w:lang w:val="ro-MD"/>
              </w:rPr>
              <w:t xml:space="preserve">Proiectul de act </w:t>
            </w:r>
          </w:p>
          <w:p w14:paraId="13477720" w14:textId="4E4A6F42" w:rsidR="000A2F4D" w:rsidRPr="004D6136" w:rsidRDefault="000A2F4D" w:rsidP="000A2F4D">
            <w:pPr>
              <w:spacing w:line="276" w:lineRule="auto"/>
              <w:jc w:val="center"/>
              <w:rPr>
                <w:rFonts w:ascii="Times New Roman" w:hAnsi="Times New Roman" w:cs="Times New Roman"/>
                <w:b/>
                <w:color w:val="000000" w:themeColor="text1"/>
                <w:lang w:val="ro-MD"/>
              </w:rPr>
            </w:pPr>
            <w:r w:rsidRPr="004D6136">
              <w:rPr>
                <w:rFonts w:ascii="Times New Roman" w:eastAsia="Times New Roman" w:hAnsi="Times New Roman" w:cs="Times New Roman"/>
                <w:b/>
                <w:color w:val="000000" w:themeColor="text1"/>
                <w:lang w:val="ro-MD"/>
              </w:rPr>
              <w:t xml:space="preserve">normativ </w:t>
            </w:r>
            <w:proofErr w:type="spellStart"/>
            <w:r w:rsidRPr="004D6136">
              <w:rPr>
                <w:rFonts w:ascii="Times New Roman" w:eastAsia="Times New Roman" w:hAnsi="Times New Roman" w:cs="Times New Roman"/>
                <w:b/>
                <w:color w:val="000000" w:themeColor="text1"/>
                <w:lang w:val="ro-MD"/>
              </w:rPr>
              <w:t>naţional</w:t>
            </w:r>
            <w:proofErr w:type="spellEnd"/>
          </w:p>
        </w:tc>
        <w:tc>
          <w:tcPr>
            <w:tcW w:w="585" w:type="pct"/>
            <w:tcBorders>
              <w:top w:val="single" w:sz="4" w:space="0" w:color="auto"/>
              <w:left w:val="single" w:sz="4" w:space="0" w:color="auto"/>
              <w:bottom w:val="single" w:sz="4" w:space="0" w:color="auto"/>
              <w:right w:val="single" w:sz="4" w:space="0" w:color="auto"/>
            </w:tcBorders>
            <w:vAlign w:val="center"/>
          </w:tcPr>
          <w:p w14:paraId="37B1C09F" w14:textId="77777777" w:rsidR="000A2F4D" w:rsidRPr="004D6136" w:rsidRDefault="000A2F4D" w:rsidP="00287C67">
            <w:pPr>
              <w:spacing w:line="276" w:lineRule="auto"/>
              <w:jc w:val="center"/>
              <w:rPr>
                <w:rFonts w:ascii="Times New Roman" w:eastAsia="Times New Roman" w:hAnsi="Times New Roman" w:cs="Times New Roman"/>
                <w:b/>
                <w:color w:val="000000" w:themeColor="text1"/>
                <w:lang w:val="ro-MD"/>
              </w:rPr>
            </w:pPr>
            <w:r w:rsidRPr="004D6136">
              <w:rPr>
                <w:rFonts w:ascii="Times New Roman" w:eastAsia="Times New Roman" w:hAnsi="Times New Roman" w:cs="Times New Roman"/>
                <w:b/>
                <w:color w:val="000000" w:themeColor="text1"/>
                <w:lang w:val="ro-MD"/>
              </w:rPr>
              <w:t>Gradul de compatibilitate</w:t>
            </w:r>
          </w:p>
        </w:tc>
        <w:tc>
          <w:tcPr>
            <w:tcW w:w="1261" w:type="pct"/>
            <w:tcBorders>
              <w:top w:val="single" w:sz="4" w:space="0" w:color="auto"/>
              <w:left w:val="single" w:sz="4" w:space="0" w:color="auto"/>
              <w:bottom w:val="single" w:sz="4" w:space="0" w:color="auto"/>
              <w:right w:val="single" w:sz="4" w:space="0" w:color="auto"/>
            </w:tcBorders>
            <w:vAlign w:val="center"/>
          </w:tcPr>
          <w:p w14:paraId="39375DDE" w14:textId="59EF9C7B" w:rsidR="000A2F4D" w:rsidRPr="004D6136" w:rsidRDefault="000A2F4D" w:rsidP="00287C67">
            <w:pPr>
              <w:spacing w:line="276" w:lineRule="auto"/>
              <w:rPr>
                <w:rFonts w:ascii="Times New Roman" w:hAnsi="Times New Roman" w:cs="Times New Roman"/>
                <w:color w:val="000000" w:themeColor="text1"/>
                <w:lang w:val="ro-MD"/>
              </w:rPr>
            </w:pPr>
            <w:r w:rsidRPr="004D6136">
              <w:rPr>
                <w:rFonts w:ascii="Times New Roman" w:eastAsia="Times New Roman" w:hAnsi="Times New Roman" w:cs="Times New Roman"/>
                <w:b/>
                <w:color w:val="000000" w:themeColor="text1"/>
                <w:lang w:val="ro-MD"/>
              </w:rPr>
              <w:t xml:space="preserve"> Observații</w:t>
            </w:r>
          </w:p>
        </w:tc>
      </w:tr>
      <w:tr w:rsidR="000A2F4D" w:rsidRPr="004D6136" w14:paraId="6BF247CF" w14:textId="77777777" w:rsidTr="000A2F4D">
        <w:trPr>
          <w:trHeight w:val="253"/>
          <w:tblHeader/>
        </w:trPr>
        <w:tc>
          <w:tcPr>
            <w:tcW w:w="1597" w:type="pct"/>
            <w:tcBorders>
              <w:top w:val="single" w:sz="4" w:space="0" w:color="auto"/>
              <w:left w:val="single" w:sz="4" w:space="0" w:color="auto"/>
              <w:bottom w:val="single" w:sz="4" w:space="0" w:color="auto"/>
              <w:right w:val="single" w:sz="4" w:space="0" w:color="auto"/>
            </w:tcBorders>
            <w:vAlign w:val="center"/>
          </w:tcPr>
          <w:p w14:paraId="1B36E508" w14:textId="3FED7BA5" w:rsidR="000A2F4D" w:rsidRPr="004D6136" w:rsidRDefault="000A2F4D" w:rsidP="00287C67">
            <w:pPr>
              <w:spacing w:line="276" w:lineRule="auto"/>
              <w:jc w:val="center"/>
              <w:rPr>
                <w:rFonts w:ascii="Times New Roman" w:eastAsia="Times New Roman" w:hAnsi="Times New Roman" w:cs="Times New Roman"/>
                <w:b/>
                <w:color w:val="000000" w:themeColor="text1"/>
                <w:lang w:val="ro-MD"/>
              </w:rPr>
            </w:pPr>
            <w:r w:rsidRPr="004D6136">
              <w:rPr>
                <w:rFonts w:ascii="Times New Roman" w:eastAsia="Times New Roman" w:hAnsi="Times New Roman" w:cs="Times New Roman"/>
                <w:b/>
                <w:color w:val="000000" w:themeColor="text1"/>
                <w:lang w:val="ro-MD"/>
              </w:rPr>
              <w:t>6</w:t>
            </w:r>
          </w:p>
        </w:tc>
        <w:tc>
          <w:tcPr>
            <w:tcW w:w="1557" w:type="pct"/>
            <w:tcBorders>
              <w:top w:val="single" w:sz="4" w:space="0" w:color="auto"/>
              <w:left w:val="single" w:sz="4" w:space="0" w:color="auto"/>
              <w:bottom w:val="single" w:sz="4" w:space="0" w:color="auto"/>
              <w:right w:val="single" w:sz="4" w:space="0" w:color="auto"/>
            </w:tcBorders>
            <w:vAlign w:val="center"/>
          </w:tcPr>
          <w:p w14:paraId="23FD13F0" w14:textId="1122E51E" w:rsidR="000A2F4D" w:rsidRPr="004D6136" w:rsidRDefault="000A2F4D" w:rsidP="00287C67">
            <w:pPr>
              <w:spacing w:line="276" w:lineRule="auto"/>
              <w:jc w:val="center"/>
              <w:rPr>
                <w:rFonts w:ascii="Times New Roman" w:eastAsia="Times New Roman" w:hAnsi="Times New Roman" w:cs="Times New Roman"/>
                <w:b/>
                <w:color w:val="000000" w:themeColor="text1"/>
                <w:lang w:val="ro-MD"/>
              </w:rPr>
            </w:pPr>
            <w:r w:rsidRPr="004D6136">
              <w:rPr>
                <w:rFonts w:ascii="Times New Roman" w:eastAsia="Times New Roman" w:hAnsi="Times New Roman" w:cs="Times New Roman"/>
                <w:b/>
                <w:color w:val="000000" w:themeColor="text1"/>
                <w:lang w:val="ro-MD"/>
              </w:rPr>
              <w:t>7</w:t>
            </w:r>
          </w:p>
        </w:tc>
        <w:tc>
          <w:tcPr>
            <w:tcW w:w="585" w:type="pct"/>
            <w:tcBorders>
              <w:top w:val="single" w:sz="4" w:space="0" w:color="auto"/>
              <w:left w:val="single" w:sz="4" w:space="0" w:color="auto"/>
              <w:bottom w:val="single" w:sz="4" w:space="0" w:color="auto"/>
              <w:right w:val="single" w:sz="4" w:space="0" w:color="auto"/>
            </w:tcBorders>
            <w:vAlign w:val="center"/>
          </w:tcPr>
          <w:p w14:paraId="3EF2B09C" w14:textId="03C3101A" w:rsidR="000A2F4D" w:rsidRPr="004D6136" w:rsidRDefault="000A2F4D" w:rsidP="00287C67">
            <w:pPr>
              <w:spacing w:line="276" w:lineRule="auto"/>
              <w:jc w:val="center"/>
              <w:rPr>
                <w:rFonts w:ascii="Times New Roman" w:eastAsia="Times New Roman" w:hAnsi="Times New Roman" w:cs="Times New Roman"/>
                <w:b/>
                <w:color w:val="000000" w:themeColor="text1"/>
                <w:lang w:val="ro-MD"/>
              </w:rPr>
            </w:pPr>
            <w:r w:rsidRPr="004D6136">
              <w:rPr>
                <w:rFonts w:ascii="Times New Roman" w:eastAsia="Times New Roman" w:hAnsi="Times New Roman" w:cs="Times New Roman"/>
                <w:b/>
                <w:color w:val="000000" w:themeColor="text1"/>
                <w:lang w:val="ro-MD"/>
              </w:rPr>
              <w:t>8</w:t>
            </w:r>
          </w:p>
        </w:tc>
        <w:tc>
          <w:tcPr>
            <w:tcW w:w="1261" w:type="pct"/>
            <w:tcBorders>
              <w:top w:val="single" w:sz="4" w:space="0" w:color="auto"/>
              <w:left w:val="single" w:sz="4" w:space="0" w:color="auto"/>
              <w:bottom w:val="single" w:sz="4" w:space="0" w:color="auto"/>
              <w:right w:val="single" w:sz="4" w:space="0" w:color="auto"/>
            </w:tcBorders>
            <w:vAlign w:val="center"/>
          </w:tcPr>
          <w:p w14:paraId="7F6E2304" w14:textId="4ECA4B61" w:rsidR="000A2F4D" w:rsidRPr="004D6136" w:rsidRDefault="000A2F4D" w:rsidP="00287C67">
            <w:pPr>
              <w:spacing w:line="276" w:lineRule="auto"/>
              <w:jc w:val="center"/>
              <w:rPr>
                <w:rFonts w:ascii="Times New Roman" w:eastAsia="Times New Roman" w:hAnsi="Times New Roman" w:cs="Times New Roman"/>
                <w:b/>
                <w:color w:val="000000" w:themeColor="text1"/>
                <w:lang w:val="ro-MD"/>
              </w:rPr>
            </w:pPr>
            <w:r w:rsidRPr="004D6136">
              <w:rPr>
                <w:rFonts w:ascii="Times New Roman" w:eastAsia="Times New Roman" w:hAnsi="Times New Roman" w:cs="Times New Roman"/>
                <w:b/>
                <w:color w:val="000000" w:themeColor="text1"/>
                <w:lang w:val="ro-MD"/>
              </w:rPr>
              <w:t>9</w:t>
            </w:r>
          </w:p>
        </w:tc>
      </w:tr>
      <w:tr w:rsidR="000A2F4D" w:rsidRPr="004D6136" w14:paraId="5617DEC2" w14:textId="77777777" w:rsidTr="000A2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48B9D3A0" w14:textId="77777777" w:rsidR="000A2F4D" w:rsidRPr="004D6136" w:rsidRDefault="000A2F4D" w:rsidP="00287C67">
            <w:pPr>
              <w:spacing w:line="276" w:lineRule="auto"/>
              <w:rPr>
                <w:rFonts w:ascii="Times New Roman" w:hAnsi="Times New Roman" w:cs="Times New Roman"/>
                <w:b/>
                <w:color w:val="000000" w:themeColor="text1"/>
                <w:lang w:val="ro-MD"/>
              </w:rPr>
            </w:pPr>
            <w:r w:rsidRPr="004D6136">
              <w:rPr>
                <w:rFonts w:ascii="Times New Roman" w:hAnsi="Times New Roman" w:cs="Times New Roman"/>
                <w:b/>
                <w:color w:val="000000" w:themeColor="text1"/>
                <w:lang w:val="it-IT"/>
              </w:rPr>
              <w:t>REGULAMENTUL NR. 575/2013 AL PARLAMENTULUI EUROPEAN ȘI AL CONSILIULUI din 26 iunie 2013 privind cerințele prudențiale pentru instituțiile de credit și firmele de investiții și de modificare a Regulamentului (UE) nr. 648/2012 (în continuare – CRR)</w:t>
            </w:r>
          </w:p>
        </w:tc>
        <w:tc>
          <w:tcPr>
            <w:tcW w:w="1557" w:type="pct"/>
          </w:tcPr>
          <w:p w14:paraId="1BF86BAE" w14:textId="20BF9F34" w:rsidR="000A2F4D" w:rsidRPr="004D6136" w:rsidRDefault="000A2F4D" w:rsidP="00287C67">
            <w:pPr>
              <w:spacing w:line="276" w:lineRule="auto"/>
              <w:rPr>
                <w:rFonts w:ascii="Times New Roman" w:hAnsi="Times New Roman" w:cs="Times New Roman"/>
                <w:b/>
                <w:color w:val="000000" w:themeColor="text1"/>
              </w:rPr>
            </w:pPr>
            <w:bookmarkStart w:id="1" w:name="_Hlk188368218"/>
            <w:proofErr w:type="spellStart"/>
            <w:r w:rsidRPr="004D6136">
              <w:rPr>
                <w:rFonts w:ascii="Times New Roman" w:hAnsi="Times New Roman" w:cs="Times New Roman"/>
                <w:b/>
                <w:color w:val="000000" w:themeColor="text1"/>
              </w:rPr>
              <w:t>Regulamentul</w:t>
            </w:r>
            <w:proofErr w:type="spellEnd"/>
            <w:r w:rsidRPr="004D6136">
              <w:rPr>
                <w:rFonts w:ascii="Times New Roman" w:hAnsi="Times New Roman" w:cs="Times New Roman"/>
                <w:b/>
                <w:color w:val="000000" w:themeColor="text1"/>
              </w:rPr>
              <w:t xml:space="preserve"> </w:t>
            </w:r>
            <w:proofErr w:type="spellStart"/>
            <w:r w:rsidRPr="004D6136">
              <w:rPr>
                <w:rFonts w:ascii="Times New Roman" w:hAnsi="Times New Roman" w:cs="Times New Roman"/>
                <w:b/>
                <w:color w:val="000000" w:themeColor="text1"/>
              </w:rPr>
              <w:t>privind</w:t>
            </w:r>
            <w:proofErr w:type="spellEnd"/>
            <w:r w:rsidRPr="004D6136">
              <w:rPr>
                <w:rFonts w:ascii="Times New Roman" w:hAnsi="Times New Roman" w:cs="Times New Roman"/>
                <w:b/>
                <w:color w:val="000000" w:themeColor="text1"/>
              </w:rPr>
              <w:t xml:space="preserve"> </w:t>
            </w:r>
            <w:proofErr w:type="spellStart"/>
            <w:r w:rsidRPr="004D6136">
              <w:rPr>
                <w:rFonts w:ascii="Times New Roman" w:hAnsi="Times New Roman" w:cs="Times New Roman"/>
                <w:b/>
                <w:color w:val="000000" w:themeColor="text1"/>
              </w:rPr>
              <w:t>efectul</w:t>
            </w:r>
            <w:proofErr w:type="spellEnd"/>
            <w:r w:rsidRPr="004D6136">
              <w:rPr>
                <w:rFonts w:ascii="Times New Roman" w:hAnsi="Times New Roman" w:cs="Times New Roman"/>
                <w:b/>
                <w:color w:val="000000" w:themeColor="text1"/>
              </w:rPr>
              <w:t xml:space="preserve"> de levier</w:t>
            </w:r>
            <w:bookmarkEnd w:id="1"/>
            <w:r w:rsidRPr="004D6136">
              <w:rPr>
                <w:rFonts w:ascii="Times New Roman" w:hAnsi="Times New Roman" w:cs="Times New Roman"/>
                <w:b/>
                <w:color w:val="000000" w:themeColor="text1"/>
              </w:rPr>
              <w:t xml:space="preserve">, </w:t>
            </w:r>
            <w:proofErr w:type="spellStart"/>
            <w:r w:rsidRPr="004D6136">
              <w:rPr>
                <w:rFonts w:ascii="Times New Roman" w:hAnsi="Times New Roman" w:cs="Times New Roman"/>
                <w:b/>
                <w:color w:val="000000" w:themeColor="text1"/>
              </w:rPr>
              <w:t>aprobat</w:t>
            </w:r>
            <w:proofErr w:type="spellEnd"/>
            <w:r w:rsidRPr="004D6136">
              <w:rPr>
                <w:rFonts w:ascii="Times New Roman" w:hAnsi="Times New Roman" w:cs="Times New Roman"/>
                <w:b/>
                <w:color w:val="000000" w:themeColor="text1"/>
              </w:rPr>
              <w:t xml:space="preserve"> </w:t>
            </w:r>
            <w:proofErr w:type="spellStart"/>
            <w:r w:rsidRPr="004D6136">
              <w:rPr>
                <w:rFonts w:ascii="Times New Roman" w:hAnsi="Times New Roman" w:cs="Times New Roman"/>
                <w:b/>
                <w:color w:val="000000" w:themeColor="text1"/>
              </w:rPr>
              <w:t>prin</w:t>
            </w:r>
            <w:proofErr w:type="spellEnd"/>
            <w:r w:rsidRPr="004D6136">
              <w:rPr>
                <w:rFonts w:ascii="Times New Roman" w:hAnsi="Times New Roman" w:cs="Times New Roman"/>
                <w:b/>
                <w:color w:val="000000" w:themeColor="text1"/>
              </w:rPr>
              <w:t xml:space="preserve"> </w:t>
            </w:r>
            <w:proofErr w:type="spellStart"/>
            <w:r w:rsidRPr="004D6136">
              <w:rPr>
                <w:rFonts w:ascii="Times New Roman" w:hAnsi="Times New Roman" w:cs="Times New Roman"/>
                <w:b/>
                <w:color w:val="000000" w:themeColor="text1"/>
              </w:rPr>
              <w:t>Hotărârea</w:t>
            </w:r>
            <w:proofErr w:type="spellEnd"/>
            <w:r w:rsidRPr="004D6136">
              <w:rPr>
                <w:rFonts w:ascii="Times New Roman" w:hAnsi="Times New Roman" w:cs="Times New Roman"/>
                <w:b/>
                <w:color w:val="000000" w:themeColor="text1"/>
              </w:rPr>
              <w:t xml:space="preserve"> </w:t>
            </w:r>
            <w:proofErr w:type="spellStart"/>
            <w:r w:rsidRPr="004D6136">
              <w:rPr>
                <w:rFonts w:ascii="Times New Roman" w:hAnsi="Times New Roman" w:cs="Times New Roman"/>
                <w:b/>
                <w:color w:val="000000" w:themeColor="text1"/>
              </w:rPr>
              <w:t>Comitetului</w:t>
            </w:r>
            <w:proofErr w:type="spellEnd"/>
            <w:r w:rsidRPr="004D6136">
              <w:rPr>
                <w:rFonts w:ascii="Times New Roman" w:hAnsi="Times New Roman" w:cs="Times New Roman"/>
                <w:b/>
                <w:color w:val="000000" w:themeColor="text1"/>
              </w:rPr>
              <w:t xml:space="preserve"> </w:t>
            </w:r>
            <w:proofErr w:type="spellStart"/>
            <w:r w:rsidRPr="004D6136">
              <w:rPr>
                <w:rFonts w:ascii="Times New Roman" w:hAnsi="Times New Roman" w:cs="Times New Roman"/>
                <w:b/>
                <w:color w:val="000000" w:themeColor="text1"/>
              </w:rPr>
              <w:t>executiv</w:t>
            </w:r>
            <w:proofErr w:type="spellEnd"/>
            <w:r w:rsidRPr="004D6136">
              <w:rPr>
                <w:rFonts w:ascii="Times New Roman" w:hAnsi="Times New Roman" w:cs="Times New Roman"/>
                <w:b/>
                <w:color w:val="000000" w:themeColor="text1"/>
              </w:rPr>
              <w:t xml:space="preserve"> al Băncii </w:t>
            </w:r>
            <w:proofErr w:type="spellStart"/>
            <w:r w:rsidRPr="004D6136">
              <w:rPr>
                <w:rFonts w:ascii="Times New Roman" w:hAnsi="Times New Roman" w:cs="Times New Roman"/>
                <w:b/>
                <w:color w:val="000000" w:themeColor="text1"/>
              </w:rPr>
              <w:t>Naționale</w:t>
            </w:r>
            <w:proofErr w:type="spellEnd"/>
            <w:r w:rsidRPr="004D6136">
              <w:rPr>
                <w:rFonts w:ascii="Times New Roman" w:hAnsi="Times New Roman" w:cs="Times New Roman"/>
                <w:b/>
                <w:color w:val="000000" w:themeColor="text1"/>
              </w:rPr>
              <w:t xml:space="preserve"> a </w:t>
            </w:r>
            <w:proofErr w:type="spellStart"/>
            <w:proofErr w:type="gramStart"/>
            <w:r w:rsidRPr="004D6136">
              <w:rPr>
                <w:rFonts w:ascii="Times New Roman" w:hAnsi="Times New Roman" w:cs="Times New Roman"/>
                <w:b/>
                <w:color w:val="000000" w:themeColor="text1"/>
              </w:rPr>
              <w:t>Moldovei</w:t>
            </w:r>
            <w:proofErr w:type="spellEnd"/>
            <w:r w:rsidRPr="004D6136">
              <w:rPr>
                <w:rFonts w:ascii="Times New Roman" w:hAnsi="Times New Roman" w:cs="Times New Roman"/>
                <w:b/>
                <w:color w:val="000000" w:themeColor="text1"/>
              </w:rPr>
              <w:t xml:space="preserve">  </w:t>
            </w:r>
            <w:proofErr w:type="spellStart"/>
            <w:r w:rsidRPr="004D6136">
              <w:rPr>
                <w:rFonts w:ascii="Times New Roman" w:hAnsi="Times New Roman" w:cs="Times New Roman"/>
                <w:b/>
                <w:color w:val="000000" w:themeColor="text1"/>
              </w:rPr>
              <w:t>nr</w:t>
            </w:r>
            <w:proofErr w:type="gramEnd"/>
            <w:r w:rsidRPr="004D6136">
              <w:rPr>
                <w:rFonts w:ascii="Times New Roman" w:hAnsi="Times New Roman" w:cs="Times New Roman"/>
                <w:b/>
                <w:color w:val="000000" w:themeColor="text1"/>
              </w:rPr>
              <w:t>.XX</w:t>
            </w:r>
            <w:proofErr w:type="spellEnd"/>
            <w:r w:rsidRPr="004D6136">
              <w:rPr>
                <w:rFonts w:ascii="Times New Roman" w:hAnsi="Times New Roman" w:cs="Times New Roman"/>
                <w:b/>
                <w:color w:val="000000" w:themeColor="text1"/>
              </w:rPr>
              <w:t>/2025</w:t>
            </w:r>
          </w:p>
          <w:p w14:paraId="2447C1C9" w14:textId="77777777" w:rsidR="000A2F4D" w:rsidRPr="004D6136" w:rsidRDefault="000A2F4D" w:rsidP="00287C67">
            <w:pPr>
              <w:spacing w:line="276" w:lineRule="auto"/>
              <w:ind w:left="448"/>
              <w:rPr>
                <w:rFonts w:ascii="Times New Roman" w:hAnsi="Times New Roman" w:cs="Times New Roman"/>
                <w:b/>
                <w:color w:val="000000" w:themeColor="text1"/>
              </w:rPr>
            </w:pPr>
          </w:p>
        </w:tc>
        <w:tc>
          <w:tcPr>
            <w:tcW w:w="585" w:type="pct"/>
          </w:tcPr>
          <w:p w14:paraId="6FE2121C" w14:textId="77777777" w:rsidR="000A2F4D" w:rsidRPr="004D6136" w:rsidRDefault="000A2F4D" w:rsidP="00287C67">
            <w:pPr>
              <w:spacing w:line="276" w:lineRule="auto"/>
              <w:rPr>
                <w:rFonts w:ascii="Times New Roman" w:hAnsi="Times New Roman" w:cs="Times New Roman"/>
                <w:color w:val="000000" w:themeColor="text1"/>
                <w:lang w:val="ro-MD"/>
              </w:rPr>
            </w:pPr>
          </w:p>
        </w:tc>
        <w:tc>
          <w:tcPr>
            <w:tcW w:w="1261" w:type="pct"/>
          </w:tcPr>
          <w:p w14:paraId="4EDDB10F" w14:textId="77777777" w:rsidR="000A2F4D" w:rsidRPr="004D6136" w:rsidRDefault="000A2F4D" w:rsidP="00287C67">
            <w:pPr>
              <w:spacing w:line="276" w:lineRule="auto"/>
              <w:rPr>
                <w:rFonts w:ascii="Times New Roman" w:hAnsi="Times New Roman" w:cs="Times New Roman"/>
                <w:color w:val="000000" w:themeColor="text1"/>
                <w:lang w:val="ro-MD"/>
              </w:rPr>
            </w:pPr>
          </w:p>
        </w:tc>
      </w:tr>
      <w:tr w:rsidR="000A2F4D" w:rsidRPr="004D6136" w14:paraId="087009BB" w14:textId="77777777" w:rsidTr="000A2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6CC99ADB" w14:textId="77777777" w:rsidR="000A2F4D" w:rsidRPr="004D6136" w:rsidRDefault="000A2F4D" w:rsidP="00287C67">
            <w:pPr>
              <w:spacing w:after="0" w:line="240" w:lineRule="auto"/>
              <w:rPr>
                <w:rFonts w:ascii="Times New Roman" w:hAnsi="Times New Roman" w:cs="Times New Roman"/>
                <w:b/>
                <w:color w:val="000000" w:themeColor="text1"/>
                <w:lang w:val="ro-RO"/>
              </w:rPr>
            </w:pPr>
            <w:r w:rsidRPr="004D6136">
              <w:rPr>
                <w:rFonts w:ascii="Times New Roman" w:hAnsi="Times New Roman" w:cs="Times New Roman"/>
                <w:b/>
                <w:color w:val="000000" w:themeColor="text1"/>
                <w:lang w:val="ro-RO"/>
              </w:rPr>
              <w:t>PARTEA ÎNTÂI</w:t>
            </w:r>
          </w:p>
          <w:p w14:paraId="0D46B05C" w14:textId="77777777" w:rsidR="000A2F4D" w:rsidRPr="004D6136" w:rsidRDefault="000A2F4D" w:rsidP="00287C67">
            <w:pPr>
              <w:spacing w:after="0" w:line="240" w:lineRule="auto"/>
              <w:rPr>
                <w:rFonts w:ascii="Times New Roman" w:hAnsi="Times New Roman" w:cs="Times New Roman"/>
                <w:b/>
                <w:color w:val="000000" w:themeColor="text1"/>
                <w:lang w:val="ro-RO"/>
              </w:rPr>
            </w:pPr>
            <w:r w:rsidRPr="004D6136">
              <w:rPr>
                <w:rFonts w:ascii="Times New Roman" w:hAnsi="Times New Roman" w:cs="Times New Roman"/>
                <w:b/>
                <w:color w:val="000000" w:themeColor="text1"/>
                <w:lang w:val="ro-RO"/>
              </w:rPr>
              <w:t>DISPOZIȚII GENERALE</w:t>
            </w:r>
          </w:p>
          <w:p w14:paraId="6BE86301" w14:textId="77777777" w:rsidR="000A2F4D" w:rsidRPr="004D6136" w:rsidRDefault="000A2F4D" w:rsidP="00287C67">
            <w:pPr>
              <w:spacing w:after="0" w:line="240" w:lineRule="auto"/>
              <w:rPr>
                <w:rFonts w:ascii="Times New Roman" w:hAnsi="Times New Roman" w:cs="Times New Roman"/>
                <w:b/>
                <w:color w:val="000000" w:themeColor="text1"/>
                <w:lang w:val="ro-RO"/>
              </w:rPr>
            </w:pPr>
            <w:r w:rsidRPr="004D6136">
              <w:rPr>
                <w:rFonts w:ascii="Times New Roman" w:hAnsi="Times New Roman" w:cs="Times New Roman"/>
                <w:b/>
                <w:color w:val="000000" w:themeColor="text1"/>
                <w:lang w:val="ro-RO"/>
              </w:rPr>
              <w:t xml:space="preserve">TITLUL I   </w:t>
            </w:r>
          </w:p>
          <w:p w14:paraId="4D2B164C" w14:textId="77777777" w:rsidR="000A2F4D" w:rsidRPr="004D6136" w:rsidRDefault="000A2F4D" w:rsidP="00287C67">
            <w:pPr>
              <w:spacing w:after="0" w:line="240" w:lineRule="auto"/>
              <w:rPr>
                <w:rFonts w:ascii="Times New Roman" w:hAnsi="Times New Roman" w:cs="Times New Roman"/>
                <w:b/>
                <w:color w:val="000000" w:themeColor="text1"/>
                <w:lang w:val="ro-RO"/>
              </w:rPr>
            </w:pPr>
            <w:r w:rsidRPr="004D6136">
              <w:rPr>
                <w:rFonts w:ascii="Times New Roman" w:hAnsi="Times New Roman" w:cs="Times New Roman"/>
                <w:b/>
                <w:color w:val="000000" w:themeColor="text1"/>
                <w:lang w:val="ro-RO"/>
              </w:rPr>
              <w:lastRenderedPageBreak/>
              <w:t>OBIECT, DOMENIU DE APLICARE ȘI DEFINIȚII</w:t>
            </w:r>
          </w:p>
          <w:p w14:paraId="0903420C" w14:textId="77777777" w:rsidR="000A2F4D" w:rsidRPr="004D6136" w:rsidRDefault="000A2F4D" w:rsidP="00287C67">
            <w:pPr>
              <w:spacing w:after="0" w:line="240" w:lineRule="auto"/>
              <w:rPr>
                <w:rFonts w:ascii="Times New Roman" w:hAnsi="Times New Roman" w:cs="Times New Roman"/>
                <w:b/>
                <w:color w:val="000000" w:themeColor="text1"/>
                <w:lang w:val="ro-RO"/>
              </w:rPr>
            </w:pPr>
          </w:p>
        </w:tc>
        <w:tc>
          <w:tcPr>
            <w:tcW w:w="1557" w:type="pct"/>
          </w:tcPr>
          <w:p w14:paraId="5D097111" w14:textId="459141AF" w:rsidR="000A2F4D" w:rsidRPr="004D6136" w:rsidRDefault="009D5FE4" w:rsidP="00287C67">
            <w:pPr>
              <w:spacing w:after="0" w:line="240" w:lineRule="auto"/>
              <w:rPr>
                <w:rFonts w:ascii="Times New Roman" w:hAnsi="Times New Roman" w:cs="Times New Roman"/>
                <w:b/>
                <w:color w:val="000000" w:themeColor="text1"/>
                <w:lang w:val="ro-RO"/>
              </w:rPr>
            </w:pPr>
            <w:bookmarkStart w:id="2" w:name="_Hlk188368200"/>
            <w:r w:rsidRPr="004D6136">
              <w:rPr>
                <w:rFonts w:ascii="Times New Roman" w:hAnsi="Times New Roman" w:cs="Times New Roman"/>
                <w:b/>
                <w:color w:val="000000" w:themeColor="text1"/>
                <w:lang w:val="ro-RO"/>
              </w:rPr>
              <w:lastRenderedPageBreak/>
              <w:t>Capitolul I</w:t>
            </w:r>
            <w:r w:rsidR="000A2F4D" w:rsidRPr="004D6136">
              <w:rPr>
                <w:rFonts w:ascii="Times New Roman" w:hAnsi="Times New Roman" w:cs="Times New Roman"/>
                <w:b/>
                <w:color w:val="000000" w:themeColor="text1"/>
                <w:lang w:val="ro-RO"/>
              </w:rPr>
              <w:t xml:space="preserve"> </w:t>
            </w:r>
          </w:p>
          <w:p w14:paraId="4E43878B" w14:textId="77777777" w:rsidR="000A2F4D" w:rsidRPr="004D6136" w:rsidRDefault="000A2F4D" w:rsidP="00287C67">
            <w:pPr>
              <w:spacing w:after="0" w:line="240" w:lineRule="auto"/>
              <w:rPr>
                <w:rFonts w:ascii="Times New Roman" w:hAnsi="Times New Roman" w:cs="Times New Roman"/>
                <w:b/>
                <w:color w:val="000000" w:themeColor="text1"/>
                <w:lang w:val="ro-RO"/>
              </w:rPr>
            </w:pPr>
            <w:r w:rsidRPr="004D6136">
              <w:rPr>
                <w:rFonts w:ascii="Times New Roman" w:hAnsi="Times New Roman" w:cs="Times New Roman"/>
                <w:b/>
                <w:color w:val="000000" w:themeColor="text1"/>
                <w:lang w:val="ro-RO"/>
              </w:rPr>
              <w:t>DISPOZIȚII GENERALE</w:t>
            </w:r>
          </w:p>
          <w:bookmarkEnd w:id="2"/>
          <w:p w14:paraId="0FB3CEB1" w14:textId="77777777" w:rsidR="000A2F4D" w:rsidRPr="004D6136" w:rsidRDefault="000A2F4D" w:rsidP="00287C67">
            <w:pPr>
              <w:spacing w:after="0" w:line="240" w:lineRule="auto"/>
              <w:rPr>
                <w:rFonts w:ascii="Times New Roman" w:hAnsi="Times New Roman" w:cs="Times New Roman"/>
                <w:b/>
                <w:color w:val="000000" w:themeColor="text1"/>
                <w:lang w:val="ro-RO"/>
              </w:rPr>
            </w:pPr>
          </w:p>
        </w:tc>
        <w:tc>
          <w:tcPr>
            <w:tcW w:w="585" w:type="pct"/>
          </w:tcPr>
          <w:p w14:paraId="000D250F" w14:textId="77777777" w:rsidR="000A2F4D" w:rsidRPr="004D6136" w:rsidRDefault="000A2F4D" w:rsidP="00287C67">
            <w:pPr>
              <w:spacing w:line="276" w:lineRule="auto"/>
              <w:jc w:val="both"/>
              <w:rPr>
                <w:rFonts w:ascii="Times New Roman" w:hAnsi="Times New Roman" w:cs="Times New Roman"/>
                <w:color w:val="000000" w:themeColor="text1"/>
                <w:lang w:val="ro-MD"/>
              </w:rPr>
            </w:pPr>
          </w:p>
        </w:tc>
        <w:tc>
          <w:tcPr>
            <w:tcW w:w="1261" w:type="pct"/>
          </w:tcPr>
          <w:p w14:paraId="1353723D" w14:textId="77777777" w:rsidR="000A2F4D" w:rsidRPr="004D6136" w:rsidRDefault="000A2F4D" w:rsidP="00287C67">
            <w:pPr>
              <w:spacing w:line="276" w:lineRule="auto"/>
              <w:jc w:val="both"/>
              <w:rPr>
                <w:rFonts w:ascii="Times New Roman" w:hAnsi="Times New Roman" w:cs="Times New Roman"/>
                <w:color w:val="000000" w:themeColor="text1"/>
                <w:lang w:val="ro-MD"/>
              </w:rPr>
            </w:pPr>
          </w:p>
        </w:tc>
      </w:tr>
      <w:tr w:rsidR="000A2F4D" w:rsidRPr="004D6136" w14:paraId="0012061E" w14:textId="77777777" w:rsidTr="000A2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4D320E64" w14:textId="77777777" w:rsidR="000A2F4D" w:rsidRPr="004D6136" w:rsidRDefault="000A2F4D" w:rsidP="00287C67">
            <w:pPr>
              <w:spacing w:after="0" w:line="276" w:lineRule="auto"/>
              <w:jc w:val="both"/>
              <w:rPr>
                <w:rFonts w:ascii="Times New Roman" w:hAnsi="Times New Roman" w:cs="Times New Roman"/>
                <w:b/>
                <w:color w:val="000000" w:themeColor="text1"/>
                <w:lang w:val="ro-MD"/>
              </w:rPr>
            </w:pPr>
            <w:r w:rsidRPr="004D6136">
              <w:rPr>
                <w:rFonts w:ascii="Times New Roman" w:hAnsi="Times New Roman" w:cs="Times New Roman"/>
                <w:b/>
                <w:color w:val="000000" w:themeColor="text1"/>
                <w:lang w:val="ro-MD"/>
              </w:rPr>
              <w:t>Articolul 1</w:t>
            </w:r>
          </w:p>
          <w:p w14:paraId="145EE73C" w14:textId="77777777" w:rsidR="000A2F4D" w:rsidRPr="004D6136" w:rsidRDefault="000A2F4D" w:rsidP="00287C67">
            <w:pPr>
              <w:spacing w:after="0" w:line="276" w:lineRule="auto"/>
              <w:jc w:val="both"/>
              <w:rPr>
                <w:rFonts w:ascii="Times New Roman" w:hAnsi="Times New Roman" w:cs="Times New Roman"/>
                <w:b/>
                <w:color w:val="000000" w:themeColor="text1"/>
                <w:lang w:val="ro-MD"/>
              </w:rPr>
            </w:pPr>
            <w:r w:rsidRPr="004D6136">
              <w:rPr>
                <w:rFonts w:ascii="Times New Roman" w:hAnsi="Times New Roman" w:cs="Times New Roman"/>
                <w:b/>
                <w:color w:val="000000" w:themeColor="text1"/>
                <w:lang w:val="ro-MD"/>
              </w:rPr>
              <w:t>Domeniu  de  aplicare</w:t>
            </w:r>
          </w:p>
        </w:tc>
        <w:tc>
          <w:tcPr>
            <w:tcW w:w="1557" w:type="pct"/>
          </w:tcPr>
          <w:p w14:paraId="17D9A3D8" w14:textId="7091B68E" w:rsidR="000A2F4D" w:rsidRPr="004D6136" w:rsidRDefault="000A2F4D" w:rsidP="00287C67">
            <w:pPr>
              <w:spacing w:after="0" w:line="276" w:lineRule="auto"/>
              <w:jc w:val="both"/>
              <w:rPr>
                <w:rFonts w:ascii="Times New Roman" w:hAnsi="Times New Roman" w:cs="Times New Roman"/>
                <w:b/>
                <w:color w:val="000000" w:themeColor="text1"/>
                <w:lang w:val="ro-MD"/>
              </w:rPr>
            </w:pPr>
          </w:p>
        </w:tc>
        <w:tc>
          <w:tcPr>
            <w:tcW w:w="585" w:type="pct"/>
          </w:tcPr>
          <w:p w14:paraId="136F4E0B" w14:textId="77777777" w:rsidR="000A2F4D" w:rsidRPr="004D6136" w:rsidRDefault="000A2F4D" w:rsidP="00287C67">
            <w:pPr>
              <w:spacing w:line="276" w:lineRule="auto"/>
              <w:jc w:val="both"/>
              <w:rPr>
                <w:rFonts w:ascii="Times New Roman" w:hAnsi="Times New Roman" w:cs="Times New Roman"/>
                <w:color w:val="000000" w:themeColor="text1"/>
                <w:lang w:val="ro-MD"/>
              </w:rPr>
            </w:pPr>
          </w:p>
        </w:tc>
        <w:tc>
          <w:tcPr>
            <w:tcW w:w="1261" w:type="pct"/>
          </w:tcPr>
          <w:p w14:paraId="3011B4CB" w14:textId="77777777" w:rsidR="000A2F4D" w:rsidRPr="004D6136" w:rsidRDefault="000A2F4D" w:rsidP="00287C67">
            <w:pPr>
              <w:spacing w:line="276" w:lineRule="auto"/>
              <w:jc w:val="both"/>
              <w:rPr>
                <w:rFonts w:ascii="Times New Roman" w:hAnsi="Times New Roman" w:cs="Times New Roman"/>
                <w:color w:val="000000" w:themeColor="text1"/>
                <w:lang w:val="ro-MD"/>
              </w:rPr>
            </w:pPr>
          </w:p>
        </w:tc>
      </w:tr>
      <w:tr w:rsidR="000A2F4D" w:rsidRPr="004D6136" w14:paraId="72226D7C" w14:textId="77777777" w:rsidTr="000A2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0FF48F7C" w14:textId="7F7F9C51" w:rsidR="000A2F4D" w:rsidRPr="004D6136" w:rsidRDefault="000A2F4D" w:rsidP="004956A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Prezentul regulament stabilește reguli uniforme privind </w:t>
            </w:r>
            <w:proofErr w:type="spellStart"/>
            <w:r w:rsidRPr="004D6136">
              <w:rPr>
                <w:rFonts w:ascii="Times New Roman" w:hAnsi="Times New Roman" w:cs="Times New Roman"/>
                <w:bCs/>
                <w:color w:val="000000" w:themeColor="text1"/>
                <w:lang w:val="ro-MD"/>
              </w:rPr>
              <w:t>cerinţele</w:t>
            </w:r>
            <w:proofErr w:type="spellEnd"/>
            <w:r w:rsidRPr="004D6136">
              <w:rPr>
                <w:rFonts w:ascii="Times New Roman" w:hAnsi="Times New Roman" w:cs="Times New Roman"/>
                <w:bCs/>
                <w:color w:val="000000" w:themeColor="text1"/>
                <w:lang w:val="ro-MD"/>
              </w:rPr>
              <w:t xml:space="preserve"> </w:t>
            </w:r>
            <w:proofErr w:type="spellStart"/>
            <w:r w:rsidRPr="004D6136">
              <w:rPr>
                <w:rFonts w:ascii="Times New Roman" w:hAnsi="Times New Roman" w:cs="Times New Roman"/>
                <w:bCs/>
                <w:color w:val="000000" w:themeColor="text1"/>
                <w:lang w:val="ro-MD"/>
              </w:rPr>
              <w:t>prudenţiale</w:t>
            </w:r>
            <w:proofErr w:type="spellEnd"/>
            <w:r w:rsidRPr="004D6136">
              <w:rPr>
                <w:rFonts w:ascii="Times New Roman" w:hAnsi="Times New Roman" w:cs="Times New Roman"/>
                <w:bCs/>
                <w:color w:val="000000" w:themeColor="text1"/>
                <w:lang w:val="ro-MD"/>
              </w:rPr>
              <w:t xml:space="preserve"> generale pe care trebuie să le îndeplinească </w:t>
            </w:r>
            <w:proofErr w:type="spellStart"/>
            <w:r w:rsidRPr="004D6136">
              <w:rPr>
                <w:rFonts w:ascii="Times New Roman" w:hAnsi="Times New Roman" w:cs="Times New Roman"/>
                <w:bCs/>
                <w:color w:val="000000" w:themeColor="text1"/>
                <w:lang w:val="ro-MD"/>
              </w:rPr>
              <w:t>instituţiile</w:t>
            </w:r>
            <w:proofErr w:type="spellEnd"/>
            <w:r w:rsidRPr="004D6136">
              <w:rPr>
                <w:rFonts w:ascii="Times New Roman" w:hAnsi="Times New Roman" w:cs="Times New Roman"/>
                <w:bCs/>
                <w:color w:val="000000" w:themeColor="text1"/>
                <w:lang w:val="ro-MD"/>
              </w:rPr>
              <w:t xml:space="preserve">, </w:t>
            </w:r>
            <w:proofErr w:type="spellStart"/>
            <w:r w:rsidRPr="004D6136">
              <w:rPr>
                <w:rFonts w:ascii="Times New Roman" w:hAnsi="Times New Roman" w:cs="Times New Roman"/>
                <w:bCs/>
                <w:color w:val="000000" w:themeColor="text1"/>
                <w:lang w:val="ro-MD"/>
              </w:rPr>
              <w:t>societăţile</w:t>
            </w:r>
            <w:proofErr w:type="spellEnd"/>
            <w:r w:rsidRPr="004D6136">
              <w:rPr>
                <w:rFonts w:ascii="Times New Roman" w:hAnsi="Times New Roman" w:cs="Times New Roman"/>
                <w:bCs/>
                <w:color w:val="000000" w:themeColor="text1"/>
                <w:lang w:val="ro-MD"/>
              </w:rPr>
              <w:t xml:space="preserve"> financiare holding și </w:t>
            </w:r>
            <w:proofErr w:type="spellStart"/>
            <w:r w:rsidRPr="004D6136">
              <w:rPr>
                <w:rFonts w:ascii="Times New Roman" w:hAnsi="Times New Roman" w:cs="Times New Roman"/>
                <w:bCs/>
                <w:color w:val="000000" w:themeColor="text1"/>
                <w:lang w:val="ro-MD"/>
              </w:rPr>
              <w:t>societăţile</w:t>
            </w:r>
            <w:proofErr w:type="spellEnd"/>
            <w:r w:rsidRPr="004D6136">
              <w:rPr>
                <w:rFonts w:ascii="Times New Roman" w:hAnsi="Times New Roman" w:cs="Times New Roman"/>
                <w:bCs/>
                <w:color w:val="000000" w:themeColor="text1"/>
                <w:lang w:val="ro-MD"/>
              </w:rPr>
              <w:t xml:space="preserve"> financiare holding mixte supravegheate în temeiul Directivei 2013/36/UE, în ceea ce privește următoarele elemente:</w:t>
            </w:r>
          </w:p>
          <w:p w14:paraId="176F160A" w14:textId="3DE7531F" w:rsidR="000A2F4D" w:rsidRPr="004D6136" w:rsidRDefault="000A2F4D" w:rsidP="004956A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(a) </w:t>
            </w:r>
            <w:proofErr w:type="spellStart"/>
            <w:r w:rsidRPr="004D6136">
              <w:rPr>
                <w:rFonts w:ascii="Times New Roman" w:hAnsi="Times New Roman" w:cs="Times New Roman"/>
                <w:bCs/>
                <w:color w:val="000000" w:themeColor="text1"/>
                <w:lang w:val="ro-MD"/>
              </w:rPr>
              <w:t>cerinţe</w:t>
            </w:r>
            <w:proofErr w:type="spellEnd"/>
            <w:r w:rsidRPr="004D6136">
              <w:rPr>
                <w:rFonts w:ascii="Times New Roman" w:hAnsi="Times New Roman" w:cs="Times New Roman"/>
                <w:bCs/>
                <w:color w:val="000000" w:themeColor="text1"/>
                <w:lang w:val="ro-MD"/>
              </w:rPr>
              <w:t xml:space="preserve"> de fonduri proprii referitoare la elemente în întregime cuantificabile, uniforme și standardizate ale riscului de credit, ale riscului de </w:t>
            </w:r>
            <w:proofErr w:type="spellStart"/>
            <w:r w:rsidRPr="004D6136">
              <w:rPr>
                <w:rFonts w:ascii="Times New Roman" w:hAnsi="Times New Roman" w:cs="Times New Roman"/>
                <w:bCs/>
                <w:color w:val="000000" w:themeColor="text1"/>
                <w:lang w:val="ro-MD"/>
              </w:rPr>
              <w:t>piaţă</w:t>
            </w:r>
            <w:proofErr w:type="spellEnd"/>
            <w:r w:rsidRPr="004D6136">
              <w:rPr>
                <w:rFonts w:ascii="Times New Roman" w:hAnsi="Times New Roman" w:cs="Times New Roman"/>
                <w:bCs/>
                <w:color w:val="000000" w:themeColor="text1"/>
                <w:lang w:val="ro-MD"/>
              </w:rPr>
              <w:t xml:space="preserve">, ale riscului </w:t>
            </w:r>
            <w:proofErr w:type="spellStart"/>
            <w:r w:rsidRPr="004D6136">
              <w:rPr>
                <w:rFonts w:ascii="Times New Roman" w:hAnsi="Times New Roman" w:cs="Times New Roman"/>
                <w:bCs/>
                <w:color w:val="000000" w:themeColor="text1"/>
                <w:lang w:val="ro-MD"/>
              </w:rPr>
              <w:t>operaţional</w:t>
            </w:r>
            <w:proofErr w:type="spellEnd"/>
            <w:r w:rsidRPr="004D6136">
              <w:rPr>
                <w:rFonts w:ascii="Times New Roman" w:hAnsi="Times New Roman" w:cs="Times New Roman"/>
                <w:bCs/>
                <w:color w:val="000000" w:themeColor="text1"/>
                <w:lang w:val="ro-MD"/>
              </w:rPr>
              <w:t>, ale riscului de decontare și ale efectului de levier;</w:t>
            </w:r>
          </w:p>
        </w:tc>
        <w:tc>
          <w:tcPr>
            <w:tcW w:w="1557" w:type="pct"/>
          </w:tcPr>
          <w:p w14:paraId="1BAD2EDD" w14:textId="74709CBF" w:rsidR="000A2F4D" w:rsidRPr="004D6136" w:rsidRDefault="0053573A" w:rsidP="00287C67">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1. Prezentul regulament </w:t>
            </w:r>
            <w:proofErr w:type="spellStart"/>
            <w:r w:rsidRPr="004D6136">
              <w:rPr>
                <w:rFonts w:ascii="Times New Roman" w:hAnsi="Times New Roman" w:cs="Times New Roman"/>
                <w:bCs/>
                <w:color w:val="000000" w:themeColor="text1"/>
                <w:lang w:val="ro-MD"/>
              </w:rPr>
              <w:t>stabileşte</w:t>
            </w:r>
            <w:proofErr w:type="spellEnd"/>
            <w:r w:rsidRPr="004D6136">
              <w:rPr>
                <w:rFonts w:ascii="Times New Roman" w:hAnsi="Times New Roman" w:cs="Times New Roman"/>
                <w:bCs/>
                <w:color w:val="000000" w:themeColor="text1"/>
                <w:lang w:val="ro-MD"/>
              </w:rPr>
              <w:t xml:space="preserve"> reguli pe care trebuie să le îndeplinească băncile persoane juridice din Republica Moldova, precum </w:t>
            </w:r>
            <w:proofErr w:type="spellStart"/>
            <w:r w:rsidRPr="004D6136">
              <w:rPr>
                <w:rFonts w:ascii="Times New Roman" w:hAnsi="Times New Roman" w:cs="Times New Roman"/>
                <w:bCs/>
                <w:color w:val="000000" w:themeColor="text1"/>
                <w:lang w:val="ro-MD"/>
              </w:rPr>
              <w:t>şi</w:t>
            </w:r>
            <w:proofErr w:type="spellEnd"/>
            <w:r w:rsidRPr="004D6136">
              <w:rPr>
                <w:rFonts w:ascii="Times New Roman" w:hAnsi="Times New Roman" w:cs="Times New Roman"/>
                <w:bCs/>
                <w:color w:val="000000" w:themeColor="text1"/>
                <w:lang w:val="ro-MD"/>
              </w:rPr>
              <w:t xml:space="preserve"> sucursalele din Republica Moldova ale băncilor din alte state (în continuare – "bănci") în scopul definirii, calculării și raportării indicatorului efectului de levier.</w:t>
            </w:r>
          </w:p>
        </w:tc>
        <w:tc>
          <w:tcPr>
            <w:tcW w:w="585" w:type="pct"/>
          </w:tcPr>
          <w:p w14:paraId="5DEB94B9" w14:textId="671C229A" w:rsidR="000A2F4D" w:rsidRPr="004D6136" w:rsidRDefault="00C411D1" w:rsidP="00287C67">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compatibil</w:t>
            </w:r>
          </w:p>
        </w:tc>
        <w:tc>
          <w:tcPr>
            <w:tcW w:w="1261" w:type="pct"/>
          </w:tcPr>
          <w:p w14:paraId="31B55F24" w14:textId="77777777" w:rsidR="000A2F4D" w:rsidRPr="004D6136" w:rsidRDefault="000A2F4D" w:rsidP="00287C67">
            <w:pPr>
              <w:spacing w:line="276" w:lineRule="auto"/>
              <w:jc w:val="both"/>
              <w:rPr>
                <w:rFonts w:ascii="Times New Roman" w:hAnsi="Times New Roman" w:cs="Times New Roman"/>
                <w:bCs/>
                <w:color w:val="000000" w:themeColor="text1"/>
                <w:lang w:val="ro-MD"/>
              </w:rPr>
            </w:pPr>
          </w:p>
        </w:tc>
      </w:tr>
      <w:tr w:rsidR="000A2F4D" w:rsidRPr="004D6136" w14:paraId="4BD43A93" w14:textId="77777777" w:rsidTr="000A2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03D5981B" w14:textId="77777777" w:rsidR="000A2F4D" w:rsidRPr="004D6136" w:rsidRDefault="000A2F4D" w:rsidP="00287C67">
            <w:pPr>
              <w:spacing w:after="0" w:line="276" w:lineRule="auto"/>
              <w:jc w:val="both"/>
              <w:rPr>
                <w:rFonts w:ascii="Times New Roman" w:hAnsi="Times New Roman" w:cs="Times New Roman"/>
                <w:b/>
                <w:color w:val="000000" w:themeColor="text1"/>
                <w:lang w:val="ro-MD"/>
              </w:rPr>
            </w:pPr>
            <w:r w:rsidRPr="004D6136">
              <w:rPr>
                <w:rFonts w:ascii="Times New Roman" w:hAnsi="Times New Roman" w:cs="Times New Roman"/>
                <w:b/>
                <w:color w:val="000000" w:themeColor="text1"/>
                <w:lang w:val="ro-MD"/>
              </w:rPr>
              <w:t>Articolul 4</w:t>
            </w:r>
          </w:p>
          <w:p w14:paraId="6F84548F" w14:textId="343904FF" w:rsidR="000A2F4D" w:rsidRPr="004D6136" w:rsidRDefault="000A2F4D" w:rsidP="00287C67">
            <w:pPr>
              <w:spacing w:after="0" w:line="276" w:lineRule="auto"/>
              <w:jc w:val="both"/>
              <w:rPr>
                <w:rFonts w:ascii="Times New Roman" w:hAnsi="Times New Roman" w:cs="Times New Roman"/>
                <w:b/>
                <w:color w:val="000000" w:themeColor="text1"/>
                <w:lang w:val="ro-MD"/>
              </w:rPr>
            </w:pPr>
            <w:proofErr w:type="spellStart"/>
            <w:r w:rsidRPr="004D6136">
              <w:rPr>
                <w:rFonts w:ascii="Times New Roman" w:hAnsi="Times New Roman" w:cs="Times New Roman"/>
                <w:b/>
                <w:color w:val="000000" w:themeColor="text1"/>
                <w:lang w:val="ro-MD"/>
              </w:rPr>
              <w:t>Definiţii</w:t>
            </w:r>
            <w:proofErr w:type="spellEnd"/>
          </w:p>
        </w:tc>
        <w:tc>
          <w:tcPr>
            <w:tcW w:w="1557" w:type="pct"/>
          </w:tcPr>
          <w:p w14:paraId="53DD330E" w14:textId="77777777" w:rsidR="00A55E6A" w:rsidRPr="004D6136" w:rsidRDefault="00A55E6A" w:rsidP="00A55E6A">
            <w:pPr>
              <w:spacing w:after="0" w:line="276" w:lineRule="auto"/>
              <w:jc w:val="both"/>
              <w:rPr>
                <w:rFonts w:ascii="Times New Roman" w:hAnsi="Times New Roman" w:cs="Times New Roman"/>
                <w:b/>
                <w:bCs/>
                <w:color w:val="000000" w:themeColor="text1"/>
                <w:lang w:val="ro-RO"/>
              </w:rPr>
            </w:pPr>
            <w:bookmarkStart w:id="3" w:name="_Hlk188364579"/>
            <w:r w:rsidRPr="004D6136">
              <w:rPr>
                <w:rFonts w:ascii="Times New Roman" w:hAnsi="Times New Roman" w:cs="Times New Roman"/>
                <w:b/>
                <w:bCs/>
                <w:color w:val="000000" w:themeColor="text1"/>
                <w:lang w:val="ro-RO"/>
              </w:rPr>
              <w:t>Capitolul I</w:t>
            </w:r>
          </w:p>
          <w:bookmarkEnd w:id="3"/>
          <w:p w14:paraId="42ACF11A" w14:textId="428C0A3B" w:rsidR="000A2F4D" w:rsidRPr="004D6136" w:rsidRDefault="00A55E6A" w:rsidP="00A55E6A">
            <w:pPr>
              <w:spacing w:after="0" w:line="276" w:lineRule="auto"/>
              <w:jc w:val="both"/>
              <w:rPr>
                <w:rFonts w:ascii="Times New Roman" w:hAnsi="Times New Roman" w:cs="Times New Roman"/>
                <w:b/>
                <w:color w:val="000000" w:themeColor="text1"/>
                <w:lang w:val="ro-MD"/>
              </w:rPr>
            </w:pPr>
            <w:r w:rsidRPr="004D6136">
              <w:rPr>
                <w:rFonts w:ascii="Times New Roman" w:hAnsi="Times New Roman" w:cs="Times New Roman"/>
                <w:b/>
                <w:bCs/>
                <w:color w:val="000000" w:themeColor="text1"/>
                <w:lang w:val="ro-RO"/>
              </w:rPr>
              <w:t>DISPOZIŢII GENERALE</w:t>
            </w:r>
          </w:p>
        </w:tc>
        <w:tc>
          <w:tcPr>
            <w:tcW w:w="585" w:type="pct"/>
          </w:tcPr>
          <w:p w14:paraId="7FAA55B9" w14:textId="77777777" w:rsidR="000A2F4D" w:rsidRPr="004D6136" w:rsidRDefault="000A2F4D" w:rsidP="004956A6">
            <w:pPr>
              <w:spacing w:after="0" w:line="276" w:lineRule="auto"/>
              <w:jc w:val="both"/>
              <w:rPr>
                <w:rFonts w:ascii="Times New Roman" w:hAnsi="Times New Roman" w:cs="Times New Roman"/>
                <w:b/>
                <w:color w:val="000000" w:themeColor="text1"/>
                <w:lang w:val="ro-MD"/>
              </w:rPr>
            </w:pPr>
          </w:p>
        </w:tc>
        <w:tc>
          <w:tcPr>
            <w:tcW w:w="1261" w:type="pct"/>
          </w:tcPr>
          <w:p w14:paraId="44A78DE5" w14:textId="77777777" w:rsidR="000A2F4D" w:rsidRPr="004D6136" w:rsidRDefault="000A2F4D" w:rsidP="004956A6">
            <w:pPr>
              <w:spacing w:after="0" w:line="276" w:lineRule="auto"/>
              <w:jc w:val="both"/>
              <w:rPr>
                <w:rFonts w:ascii="Times New Roman" w:hAnsi="Times New Roman" w:cs="Times New Roman"/>
                <w:b/>
                <w:color w:val="000000" w:themeColor="text1"/>
                <w:lang w:val="ro-MD"/>
              </w:rPr>
            </w:pPr>
          </w:p>
        </w:tc>
      </w:tr>
      <w:tr w:rsidR="000A2F4D" w:rsidRPr="004D6136" w14:paraId="0C08B965" w14:textId="77777777" w:rsidTr="000A2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1B280B18" w14:textId="0ADD0E54" w:rsidR="000A2F4D" w:rsidRPr="004D6136" w:rsidRDefault="000A2F4D" w:rsidP="004956A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93. „efect de levier” înseamnă dimensiunea relativă a activelor unei </w:t>
            </w:r>
            <w:proofErr w:type="spellStart"/>
            <w:r w:rsidRPr="004D6136">
              <w:rPr>
                <w:rFonts w:ascii="Times New Roman" w:hAnsi="Times New Roman" w:cs="Times New Roman"/>
                <w:bCs/>
                <w:color w:val="000000" w:themeColor="text1"/>
                <w:lang w:val="ro-MD"/>
              </w:rPr>
              <w:t>instituţii</w:t>
            </w:r>
            <w:proofErr w:type="spellEnd"/>
            <w:r w:rsidRPr="004D6136">
              <w:rPr>
                <w:rFonts w:ascii="Times New Roman" w:hAnsi="Times New Roman" w:cs="Times New Roman"/>
                <w:bCs/>
                <w:color w:val="000000" w:themeColor="text1"/>
                <w:lang w:val="ro-MD"/>
              </w:rPr>
              <w:t xml:space="preserve">, a </w:t>
            </w:r>
            <w:proofErr w:type="spellStart"/>
            <w:r w:rsidRPr="004D6136">
              <w:rPr>
                <w:rFonts w:ascii="Times New Roman" w:hAnsi="Times New Roman" w:cs="Times New Roman"/>
                <w:bCs/>
                <w:color w:val="000000" w:themeColor="text1"/>
                <w:lang w:val="ro-MD"/>
              </w:rPr>
              <w:t>obligaţiilor</w:t>
            </w:r>
            <w:proofErr w:type="spellEnd"/>
            <w:r w:rsidRPr="004D6136">
              <w:rPr>
                <w:rFonts w:ascii="Times New Roman" w:hAnsi="Times New Roman" w:cs="Times New Roman"/>
                <w:bCs/>
                <w:color w:val="000000" w:themeColor="text1"/>
                <w:lang w:val="ro-MD"/>
              </w:rPr>
              <w:t xml:space="preserve"> </w:t>
            </w:r>
            <w:proofErr w:type="spellStart"/>
            <w:r w:rsidRPr="004D6136">
              <w:rPr>
                <w:rFonts w:ascii="Times New Roman" w:hAnsi="Times New Roman" w:cs="Times New Roman"/>
                <w:bCs/>
                <w:color w:val="000000" w:themeColor="text1"/>
                <w:lang w:val="ro-MD"/>
              </w:rPr>
              <w:t>extrabilanţiere</w:t>
            </w:r>
            <w:proofErr w:type="spellEnd"/>
            <w:r w:rsidRPr="004D6136">
              <w:rPr>
                <w:rFonts w:ascii="Times New Roman" w:hAnsi="Times New Roman" w:cs="Times New Roman"/>
                <w:bCs/>
                <w:color w:val="000000" w:themeColor="text1"/>
                <w:lang w:val="ro-MD"/>
              </w:rPr>
              <w:t xml:space="preserve"> și </w:t>
            </w:r>
            <w:proofErr w:type="spellStart"/>
            <w:r w:rsidRPr="004D6136">
              <w:rPr>
                <w:rFonts w:ascii="Times New Roman" w:hAnsi="Times New Roman" w:cs="Times New Roman"/>
                <w:bCs/>
                <w:color w:val="000000" w:themeColor="text1"/>
                <w:lang w:val="ro-MD"/>
              </w:rPr>
              <w:t>obligaţiilor</w:t>
            </w:r>
            <w:proofErr w:type="spellEnd"/>
            <w:r w:rsidRPr="004D6136">
              <w:rPr>
                <w:rFonts w:ascii="Times New Roman" w:hAnsi="Times New Roman" w:cs="Times New Roman"/>
                <w:bCs/>
                <w:color w:val="000000" w:themeColor="text1"/>
                <w:lang w:val="ro-MD"/>
              </w:rPr>
              <w:t xml:space="preserve"> contingente de a plăti, de a furniza o </w:t>
            </w:r>
            <w:proofErr w:type="spellStart"/>
            <w:r w:rsidRPr="004D6136">
              <w:rPr>
                <w:rFonts w:ascii="Times New Roman" w:hAnsi="Times New Roman" w:cs="Times New Roman"/>
                <w:bCs/>
                <w:color w:val="000000" w:themeColor="text1"/>
                <w:lang w:val="ro-MD"/>
              </w:rPr>
              <w:t>prestaţie</w:t>
            </w:r>
            <w:proofErr w:type="spellEnd"/>
            <w:r w:rsidRPr="004D6136">
              <w:rPr>
                <w:rFonts w:ascii="Times New Roman" w:hAnsi="Times New Roman" w:cs="Times New Roman"/>
                <w:bCs/>
                <w:color w:val="000000" w:themeColor="text1"/>
                <w:lang w:val="ro-MD"/>
              </w:rPr>
              <w:t xml:space="preserve"> sau de a oferi </w:t>
            </w:r>
            <w:proofErr w:type="spellStart"/>
            <w:r w:rsidRPr="004D6136">
              <w:rPr>
                <w:rFonts w:ascii="Times New Roman" w:hAnsi="Times New Roman" w:cs="Times New Roman"/>
                <w:bCs/>
                <w:color w:val="000000" w:themeColor="text1"/>
                <w:lang w:val="ro-MD"/>
              </w:rPr>
              <w:t>garanţii</w:t>
            </w:r>
            <w:proofErr w:type="spellEnd"/>
            <w:r w:rsidRPr="004D6136">
              <w:rPr>
                <w:rFonts w:ascii="Times New Roman" w:hAnsi="Times New Roman" w:cs="Times New Roman"/>
                <w:bCs/>
                <w:color w:val="000000" w:themeColor="text1"/>
                <w:lang w:val="ro-MD"/>
              </w:rPr>
              <w:t xml:space="preserve"> reale, inclusiv </w:t>
            </w:r>
            <w:proofErr w:type="spellStart"/>
            <w:r w:rsidRPr="004D6136">
              <w:rPr>
                <w:rFonts w:ascii="Times New Roman" w:hAnsi="Times New Roman" w:cs="Times New Roman"/>
                <w:bCs/>
                <w:color w:val="000000" w:themeColor="text1"/>
                <w:lang w:val="ro-MD"/>
              </w:rPr>
              <w:t>obligaţiile</w:t>
            </w:r>
            <w:proofErr w:type="spellEnd"/>
            <w:r w:rsidRPr="004D6136">
              <w:rPr>
                <w:rFonts w:ascii="Times New Roman" w:hAnsi="Times New Roman" w:cs="Times New Roman"/>
                <w:bCs/>
                <w:color w:val="000000" w:themeColor="text1"/>
                <w:lang w:val="ro-MD"/>
              </w:rPr>
              <w:t xml:space="preserve"> ce decurg din </w:t>
            </w:r>
            <w:proofErr w:type="spellStart"/>
            <w:r w:rsidRPr="004D6136">
              <w:rPr>
                <w:rFonts w:ascii="Times New Roman" w:hAnsi="Times New Roman" w:cs="Times New Roman"/>
                <w:bCs/>
                <w:color w:val="000000" w:themeColor="text1"/>
                <w:lang w:val="ro-MD"/>
              </w:rPr>
              <w:t>finanţări</w:t>
            </w:r>
            <w:proofErr w:type="spellEnd"/>
            <w:r w:rsidRPr="004D6136">
              <w:rPr>
                <w:rFonts w:ascii="Times New Roman" w:hAnsi="Times New Roman" w:cs="Times New Roman"/>
                <w:bCs/>
                <w:color w:val="000000" w:themeColor="text1"/>
                <w:lang w:val="ro-MD"/>
              </w:rPr>
              <w:t xml:space="preserve"> primite, angajamente</w:t>
            </w:r>
          </w:p>
          <w:p w14:paraId="48C11450" w14:textId="7B0CE991" w:rsidR="000A2F4D" w:rsidRPr="004D6136" w:rsidRDefault="000A2F4D" w:rsidP="004956A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asumate, instrumente financiare derivate sau acorduri </w:t>
            </w:r>
            <w:proofErr w:type="spellStart"/>
            <w:r w:rsidRPr="004D6136">
              <w:rPr>
                <w:rFonts w:ascii="Times New Roman" w:hAnsi="Times New Roman" w:cs="Times New Roman"/>
                <w:bCs/>
                <w:color w:val="000000" w:themeColor="text1"/>
                <w:lang w:val="ro-MD"/>
              </w:rPr>
              <w:t>repo</w:t>
            </w:r>
            <w:proofErr w:type="spellEnd"/>
            <w:r w:rsidRPr="004D6136">
              <w:rPr>
                <w:rFonts w:ascii="Times New Roman" w:hAnsi="Times New Roman" w:cs="Times New Roman"/>
                <w:bCs/>
                <w:color w:val="000000" w:themeColor="text1"/>
                <w:lang w:val="ro-MD"/>
              </w:rPr>
              <w:t xml:space="preserve">, cu </w:t>
            </w:r>
            <w:proofErr w:type="spellStart"/>
            <w:r w:rsidRPr="004D6136">
              <w:rPr>
                <w:rFonts w:ascii="Times New Roman" w:hAnsi="Times New Roman" w:cs="Times New Roman"/>
                <w:bCs/>
                <w:color w:val="000000" w:themeColor="text1"/>
                <w:lang w:val="ro-MD"/>
              </w:rPr>
              <w:t>excepţia</w:t>
            </w:r>
            <w:proofErr w:type="spellEnd"/>
            <w:r w:rsidRPr="004D6136">
              <w:rPr>
                <w:rFonts w:ascii="Times New Roman" w:hAnsi="Times New Roman" w:cs="Times New Roman"/>
                <w:bCs/>
                <w:color w:val="000000" w:themeColor="text1"/>
                <w:lang w:val="ro-MD"/>
              </w:rPr>
              <w:t xml:space="preserve"> </w:t>
            </w:r>
            <w:proofErr w:type="spellStart"/>
            <w:r w:rsidRPr="004D6136">
              <w:rPr>
                <w:rFonts w:ascii="Times New Roman" w:hAnsi="Times New Roman" w:cs="Times New Roman"/>
                <w:bCs/>
                <w:color w:val="000000" w:themeColor="text1"/>
                <w:lang w:val="ro-MD"/>
              </w:rPr>
              <w:t>obligaţiilor</w:t>
            </w:r>
            <w:proofErr w:type="spellEnd"/>
            <w:r w:rsidRPr="004D6136">
              <w:rPr>
                <w:rFonts w:ascii="Times New Roman" w:hAnsi="Times New Roman" w:cs="Times New Roman"/>
                <w:bCs/>
                <w:color w:val="000000" w:themeColor="text1"/>
                <w:lang w:val="ro-MD"/>
              </w:rPr>
              <w:t xml:space="preserve"> care pot fi executate </w:t>
            </w:r>
            <w:r w:rsidRPr="004D6136">
              <w:rPr>
                <w:rFonts w:ascii="Times New Roman" w:hAnsi="Times New Roman" w:cs="Times New Roman"/>
                <w:bCs/>
                <w:color w:val="000000" w:themeColor="text1"/>
                <w:lang w:val="ro-MD"/>
              </w:rPr>
              <w:lastRenderedPageBreak/>
              <w:t xml:space="preserve">numai în timpul lichidării unei </w:t>
            </w:r>
            <w:proofErr w:type="spellStart"/>
            <w:r w:rsidRPr="004D6136">
              <w:rPr>
                <w:rFonts w:ascii="Times New Roman" w:hAnsi="Times New Roman" w:cs="Times New Roman"/>
                <w:bCs/>
                <w:color w:val="000000" w:themeColor="text1"/>
                <w:lang w:val="ro-MD"/>
              </w:rPr>
              <w:t>instituţii</w:t>
            </w:r>
            <w:proofErr w:type="spellEnd"/>
            <w:r w:rsidRPr="004D6136">
              <w:rPr>
                <w:rFonts w:ascii="Times New Roman" w:hAnsi="Times New Roman" w:cs="Times New Roman"/>
                <w:bCs/>
                <w:color w:val="000000" w:themeColor="text1"/>
                <w:lang w:val="ro-MD"/>
              </w:rPr>
              <w:t xml:space="preserve">, în raport cu fondurile proprii ale </w:t>
            </w:r>
            <w:proofErr w:type="spellStart"/>
            <w:r w:rsidRPr="004D6136">
              <w:rPr>
                <w:rFonts w:ascii="Times New Roman" w:hAnsi="Times New Roman" w:cs="Times New Roman"/>
                <w:bCs/>
                <w:color w:val="000000" w:themeColor="text1"/>
                <w:lang w:val="ro-MD"/>
              </w:rPr>
              <w:t>instituţiei</w:t>
            </w:r>
            <w:proofErr w:type="spellEnd"/>
            <w:r w:rsidRPr="004D6136">
              <w:rPr>
                <w:rFonts w:ascii="Times New Roman" w:hAnsi="Times New Roman" w:cs="Times New Roman"/>
                <w:bCs/>
                <w:color w:val="000000" w:themeColor="text1"/>
                <w:lang w:val="ro-MD"/>
              </w:rPr>
              <w:t xml:space="preserve"> respective;</w:t>
            </w:r>
          </w:p>
        </w:tc>
        <w:tc>
          <w:tcPr>
            <w:tcW w:w="1557" w:type="pct"/>
          </w:tcPr>
          <w:p w14:paraId="62B0DBCD" w14:textId="77777777" w:rsidR="0053573A" w:rsidRPr="004D6136" w:rsidRDefault="0053573A" w:rsidP="00A55E6A">
            <w:pPr>
              <w:spacing w:after="0" w:line="276" w:lineRule="auto"/>
              <w:jc w:val="both"/>
              <w:rPr>
                <w:rFonts w:ascii="Times New Roman" w:hAnsi="Times New Roman" w:cs="Times New Roman"/>
                <w:color w:val="000000" w:themeColor="text1"/>
                <w:lang w:val="ro-RO"/>
              </w:rPr>
            </w:pPr>
            <w:r w:rsidRPr="004D6136">
              <w:rPr>
                <w:rFonts w:ascii="Times New Roman" w:hAnsi="Times New Roman" w:cs="Times New Roman"/>
                <w:color w:val="000000" w:themeColor="text1"/>
                <w:lang w:val="ro-RO"/>
              </w:rPr>
              <w:lastRenderedPageBreak/>
              <w:t xml:space="preserve">5. În sensul prezentului regulament, se aplică următoarele </w:t>
            </w:r>
            <w:proofErr w:type="spellStart"/>
            <w:r w:rsidRPr="004D6136">
              <w:rPr>
                <w:rFonts w:ascii="Times New Roman" w:hAnsi="Times New Roman" w:cs="Times New Roman"/>
                <w:color w:val="000000" w:themeColor="text1"/>
                <w:lang w:val="ro-RO"/>
              </w:rPr>
              <w:t>definiţii</w:t>
            </w:r>
            <w:proofErr w:type="spellEnd"/>
            <w:r w:rsidRPr="004D6136">
              <w:rPr>
                <w:rFonts w:ascii="Times New Roman" w:hAnsi="Times New Roman" w:cs="Times New Roman"/>
                <w:color w:val="000000" w:themeColor="text1"/>
                <w:lang w:val="ro-RO"/>
              </w:rPr>
              <w:t>:</w:t>
            </w:r>
          </w:p>
          <w:p w14:paraId="3793A3B4" w14:textId="341D4A1C" w:rsidR="00A55E6A" w:rsidRPr="004D6136" w:rsidRDefault="00A55E6A" w:rsidP="00A55E6A">
            <w:pPr>
              <w:spacing w:after="0" w:line="276" w:lineRule="auto"/>
              <w:jc w:val="both"/>
              <w:rPr>
                <w:rFonts w:ascii="Times New Roman" w:hAnsi="Times New Roman" w:cs="Times New Roman"/>
                <w:bCs/>
                <w:color w:val="000000" w:themeColor="text1"/>
                <w:lang w:val="ro-RO"/>
              </w:rPr>
            </w:pPr>
            <w:r w:rsidRPr="004D6136">
              <w:rPr>
                <w:rFonts w:ascii="Times New Roman" w:hAnsi="Times New Roman" w:cs="Times New Roman"/>
                <w:color w:val="000000" w:themeColor="text1"/>
                <w:lang w:val="ro-RO"/>
              </w:rPr>
              <w:t>5.1.</w:t>
            </w:r>
            <w:r w:rsidRPr="004D6136">
              <w:rPr>
                <w:rFonts w:ascii="Times New Roman" w:hAnsi="Times New Roman" w:cs="Times New Roman"/>
                <w:bCs/>
                <w:color w:val="000000" w:themeColor="text1"/>
                <w:lang w:val="ro-RO"/>
              </w:rPr>
              <w:t xml:space="preserve"> „efect de levier” înseamnă dimensiunea relativă a activelor unei bănci, a </w:t>
            </w:r>
            <w:proofErr w:type="spellStart"/>
            <w:r w:rsidRPr="004D6136">
              <w:rPr>
                <w:rFonts w:ascii="Times New Roman" w:hAnsi="Times New Roman" w:cs="Times New Roman"/>
                <w:bCs/>
                <w:color w:val="000000" w:themeColor="text1"/>
                <w:lang w:val="ro-RO"/>
              </w:rPr>
              <w:t>obligaţiilor</w:t>
            </w:r>
            <w:proofErr w:type="spellEnd"/>
            <w:r w:rsidRPr="004D6136">
              <w:rPr>
                <w:rFonts w:ascii="Times New Roman" w:hAnsi="Times New Roman" w:cs="Times New Roman"/>
                <w:bCs/>
                <w:color w:val="000000" w:themeColor="text1"/>
                <w:lang w:val="ro-RO"/>
              </w:rPr>
              <w:t xml:space="preserve"> </w:t>
            </w:r>
            <w:proofErr w:type="spellStart"/>
            <w:r w:rsidRPr="004D6136">
              <w:rPr>
                <w:rFonts w:ascii="Times New Roman" w:hAnsi="Times New Roman" w:cs="Times New Roman"/>
                <w:bCs/>
                <w:color w:val="000000" w:themeColor="text1"/>
                <w:lang w:val="ro-RO"/>
              </w:rPr>
              <w:t>extrabilanţiere</w:t>
            </w:r>
            <w:proofErr w:type="spellEnd"/>
            <w:r w:rsidRPr="004D6136">
              <w:rPr>
                <w:rFonts w:ascii="Times New Roman" w:hAnsi="Times New Roman" w:cs="Times New Roman"/>
                <w:bCs/>
                <w:color w:val="000000" w:themeColor="text1"/>
                <w:lang w:val="ro-RO"/>
              </w:rPr>
              <w:t xml:space="preserve"> și </w:t>
            </w:r>
            <w:proofErr w:type="spellStart"/>
            <w:r w:rsidRPr="004D6136">
              <w:rPr>
                <w:rFonts w:ascii="Times New Roman" w:hAnsi="Times New Roman" w:cs="Times New Roman"/>
                <w:bCs/>
                <w:color w:val="000000" w:themeColor="text1"/>
                <w:lang w:val="ro-RO"/>
              </w:rPr>
              <w:t>obligaţiilor</w:t>
            </w:r>
            <w:proofErr w:type="spellEnd"/>
            <w:r w:rsidRPr="004D6136">
              <w:rPr>
                <w:rFonts w:ascii="Times New Roman" w:hAnsi="Times New Roman" w:cs="Times New Roman"/>
                <w:bCs/>
                <w:color w:val="000000" w:themeColor="text1"/>
                <w:lang w:val="ro-RO"/>
              </w:rPr>
              <w:t xml:space="preserve"> contingente de a plăti, de a furniza o </w:t>
            </w:r>
            <w:proofErr w:type="spellStart"/>
            <w:r w:rsidRPr="004D6136">
              <w:rPr>
                <w:rFonts w:ascii="Times New Roman" w:hAnsi="Times New Roman" w:cs="Times New Roman"/>
                <w:bCs/>
                <w:color w:val="000000" w:themeColor="text1"/>
                <w:lang w:val="ro-RO"/>
              </w:rPr>
              <w:t>prestaţie</w:t>
            </w:r>
            <w:proofErr w:type="spellEnd"/>
            <w:r w:rsidRPr="004D6136">
              <w:rPr>
                <w:rFonts w:ascii="Times New Roman" w:hAnsi="Times New Roman" w:cs="Times New Roman"/>
                <w:bCs/>
                <w:color w:val="000000" w:themeColor="text1"/>
                <w:lang w:val="ro-RO"/>
              </w:rPr>
              <w:t xml:space="preserve"> sau de a oferi </w:t>
            </w:r>
            <w:proofErr w:type="spellStart"/>
            <w:r w:rsidRPr="004D6136">
              <w:rPr>
                <w:rFonts w:ascii="Times New Roman" w:hAnsi="Times New Roman" w:cs="Times New Roman"/>
                <w:bCs/>
                <w:color w:val="000000" w:themeColor="text1"/>
                <w:lang w:val="ro-RO"/>
              </w:rPr>
              <w:t>garanţii</w:t>
            </w:r>
            <w:proofErr w:type="spellEnd"/>
            <w:r w:rsidRPr="004D6136">
              <w:rPr>
                <w:rFonts w:ascii="Times New Roman" w:hAnsi="Times New Roman" w:cs="Times New Roman"/>
                <w:bCs/>
                <w:color w:val="000000" w:themeColor="text1"/>
                <w:lang w:val="ro-RO"/>
              </w:rPr>
              <w:t xml:space="preserve"> reale, inclusiv </w:t>
            </w:r>
            <w:proofErr w:type="spellStart"/>
            <w:r w:rsidRPr="004D6136">
              <w:rPr>
                <w:rFonts w:ascii="Times New Roman" w:hAnsi="Times New Roman" w:cs="Times New Roman"/>
                <w:bCs/>
                <w:color w:val="000000" w:themeColor="text1"/>
                <w:lang w:val="ro-RO"/>
              </w:rPr>
              <w:t>obligaţiile</w:t>
            </w:r>
            <w:proofErr w:type="spellEnd"/>
            <w:r w:rsidRPr="004D6136">
              <w:rPr>
                <w:rFonts w:ascii="Times New Roman" w:hAnsi="Times New Roman" w:cs="Times New Roman"/>
                <w:bCs/>
                <w:color w:val="000000" w:themeColor="text1"/>
                <w:lang w:val="ro-RO"/>
              </w:rPr>
              <w:t xml:space="preserve"> ce decurg din </w:t>
            </w:r>
            <w:proofErr w:type="spellStart"/>
            <w:r w:rsidRPr="004D6136">
              <w:rPr>
                <w:rFonts w:ascii="Times New Roman" w:hAnsi="Times New Roman" w:cs="Times New Roman"/>
                <w:bCs/>
                <w:color w:val="000000" w:themeColor="text1"/>
                <w:lang w:val="ro-RO"/>
              </w:rPr>
              <w:t>finanţări</w:t>
            </w:r>
            <w:proofErr w:type="spellEnd"/>
            <w:r w:rsidRPr="004D6136">
              <w:rPr>
                <w:rFonts w:ascii="Times New Roman" w:hAnsi="Times New Roman" w:cs="Times New Roman"/>
                <w:bCs/>
                <w:color w:val="000000" w:themeColor="text1"/>
                <w:lang w:val="ro-RO"/>
              </w:rPr>
              <w:t xml:space="preserve"> primite, angajamente asumate, instrumente financiare derivate </w:t>
            </w:r>
            <w:r w:rsidRPr="004D6136">
              <w:rPr>
                <w:rFonts w:ascii="Times New Roman" w:hAnsi="Times New Roman" w:cs="Times New Roman"/>
                <w:bCs/>
                <w:color w:val="000000" w:themeColor="text1"/>
                <w:lang w:val="ro-RO"/>
              </w:rPr>
              <w:lastRenderedPageBreak/>
              <w:t xml:space="preserve">sau acorduri </w:t>
            </w:r>
            <w:proofErr w:type="spellStart"/>
            <w:r w:rsidRPr="004D6136">
              <w:rPr>
                <w:rFonts w:ascii="Times New Roman" w:hAnsi="Times New Roman" w:cs="Times New Roman"/>
                <w:bCs/>
                <w:color w:val="000000" w:themeColor="text1"/>
                <w:lang w:val="ro-RO"/>
              </w:rPr>
              <w:t>repo</w:t>
            </w:r>
            <w:proofErr w:type="spellEnd"/>
            <w:r w:rsidRPr="004D6136">
              <w:rPr>
                <w:rFonts w:ascii="Times New Roman" w:hAnsi="Times New Roman" w:cs="Times New Roman"/>
                <w:bCs/>
                <w:color w:val="000000" w:themeColor="text1"/>
                <w:lang w:val="ro-RO"/>
              </w:rPr>
              <w:t xml:space="preserve">, cu </w:t>
            </w:r>
            <w:proofErr w:type="spellStart"/>
            <w:r w:rsidRPr="004D6136">
              <w:rPr>
                <w:rFonts w:ascii="Times New Roman" w:hAnsi="Times New Roman" w:cs="Times New Roman"/>
                <w:bCs/>
                <w:color w:val="000000" w:themeColor="text1"/>
                <w:lang w:val="ro-RO"/>
              </w:rPr>
              <w:t>excepţia</w:t>
            </w:r>
            <w:proofErr w:type="spellEnd"/>
            <w:r w:rsidRPr="004D6136">
              <w:rPr>
                <w:rFonts w:ascii="Times New Roman" w:hAnsi="Times New Roman" w:cs="Times New Roman"/>
                <w:bCs/>
                <w:color w:val="000000" w:themeColor="text1"/>
                <w:lang w:val="ro-RO"/>
              </w:rPr>
              <w:t xml:space="preserve"> </w:t>
            </w:r>
            <w:proofErr w:type="spellStart"/>
            <w:r w:rsidRPr="004D6136">
              <w:rPr>
                <w:rFonts w:ascii="Times New Roman" w:hAnsi="Times New Roman" w:cs="Times New Roman"/>
                <w:bCs/>
                <w:color w:val="000000" w:themeColor="text1"/>
                <w:lang w:val="ro-RO"/>
              </w:rPr>
              <w:t>obligaţiilor</w:t>
            </w:r>
            <w:proofErr w:type="spellEnd"/>
            <w:r w:rsidRPr="004D6136">
              <w:rPr>
                <w:rFonts w:ascii="Times New Roman" w:hAnsi="Times New Roman" w:cs="Times New Roman"/>
                <w:bCs/>
                <w:color w:val="000000" w:themeColor="text1"/>
                <w:lang w:val="ro-RO"/>
              </w:rPr>
              <w:t xml:space="preserve"> care pot fi executate numai în timpul lichidării unei bănci, în raport cu fondurile proprii ale băncii respective;</w:t>
            </w:r>
          </w:p>
          <w:p w14:paraId="32352F6F" w14:textId="77777777" w:rsidR="000A2F4D" w:rsidRPr="004D6136" w:rsidRDefault="000A2F4D" w:rsidP="00287C67">
            <w:pPr>
              <w:spacing w:after="0" w:line="276" w:lineRule="auto"/>
              <w:jc w:val="both"/>
              <w:rPr>
                <w:rFonts w:ascii="Times New Roman" w:hAnsi="Times New Roman" w:cs="Times New Roman"/>
                <w:bCs/>
                <w:color w:val="000000" w:themeColor="text1"/>
                <w:lang w:val="ro-RO"/>
              </w:rPr>
            </w:pPr>
          </w:p>
        </w:tc>
        <w:tc>
          <w:tcPr>
            <w:tcW w:w="585" w:type="pct"/>
          </w:tcPr>
          <w:p w14:paraId="3D697E28" w14:textId="15A7C79C" w:rsidR="000A2F4D" w:rsidRPr="004D6136" w:rsidRDefault="00C411D1" w:rsidP="00287C67">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compatibil</w:t>
            </w:r>
          </w:p>
        </w:tc>
        <w:tc>
          <w:tcPr>
            <w:tcW w:w="1261" w:type="pct"/>
          </w:tcPr>
          <w:p w14:paraId="13198D4A" w14:textId="77777777" w:rsidR="000A2F4D" w:rsidRPr="004D6136" w:rsidRDefault="000A2F4D" w:rsidP="00287C67">
            <w:pPr>
              <w:spacing w:line="276" w:lineRule="auto"/>
              <w:jc w:val="both"/>
              <w:rPr>
                <w:rFonts w:ascii="Times New Roman" w:hAnsi="Times New Roman" w:cs="Times New Roman"/>
                <w:bCs/>
                <w:color w:val="000000" w:themeColor="text1"/>
                <w:lang w:val="ro-MD"/>
              </w:rPr>
            </w:pPr>
          </w:p>
        </w:tc>
      </w:tr>
      <w:tr w:rsidR="0056324C" w:rsidRPr="004D6136" w14:paraId="6833AC0A" w14:textId="77777777" w:rsidTr="000A2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7BCFA450" w14:textId="1B2C1C35" w:rsidR="0056324C" w:rsidRPr="004D6136" w:rsidRDefault="0056324C" w:rsidP="004956A6">
            <w:pPr>
              <w:spacing w:after="0" w:line="276" w:lineRule="auto"/>
              <w:jc w:val="both"/>
              <w:rPr>
                <w:rFonts w:ascii="Times New Roman" w:hAnsi="Times New Roman" w:cs="Times New Roman"/>
                <w:bCs/>
                <w:color w:val="000000" w:themeColor="text1"/>
                <w:lang w:val="ro-MD"/>
              </w:rPr>
            </w:pPr>
            <w:bookmarkStart w:id="4" w:name="_Hlk191458623"/>
            <w:r w:rsidRPr="004D6136">
              <w:rPr>
                <w:rFonts w:ascii="Times New Roman" w:hAnsi="Times New Roman" w:cs="Times New Roman"/>
                <w:bCs/>
                <w:color w:val="000000" w:themeColor="text1"/>
                <w:lang w:val="ro-MD"/>
              </w:rPr>
              <w:t xml:space="preserve">139. </w:t>
            </w:r>
            <w:proofErr w:type="spellStart"/>
            <w:r w:rsidRPr="004D6136">
              <w:rPr>
                <w:rFonts w:ascii="Times New Roman" w:hAnsi="Times New Roman" w:cs="Times New Roman"/>
                <w:bCs/>
                <w:color w:val="000000" w:themeColor="text1"/>
                <w:lang w:val="ro-MD"/>
              </w:rPr>
              <w:t>operaţiune</w:t>
            </w:r>
            <w:proofErr w:type="spellEnd"/>
            <w:r w:rsidRPr="004D6136">
              <w:rPr>
                <w:rFonts w:ascii="Times New Roman" w:hAnsi="Times New Roman" w:cs="Times New Roman"/>
                <w:bCs/>
                <w:color w:val="000000" w:themeColor="text1"/>
                <w:lang w:val="ro-MD"/>
              </w:rPr>
              <w:t xml:space="preserve"> de </w:t>
            </w:r>
            <w:proofErr w:type="spellStart"/>
            <w:r w:rsidRPr="004D6136">
              <w:rPr>
                <w:rFonts w:ascii="Times New Roman" w:hAnsi="Times New Roman" w:cs="Times New Roman"/>
                <w:bCs/>
                <w:color w:val="000000" w:themeColor="text1"/>
                <w:lang w:val="ro-MD"/>
              </w:rPr>
              <w:t>finanţare</w:t>
            </w:r>
            <w:proofErr w:type="spellEnd"/>
            <w:r w:rsidRPr="004D6136">
              <w:rPr>
                <w:rFonts w:ascii="Times New Roman" w:hAnsi="Times New Roman" w:cs="Times New Roman"/>
                <w:bCs/>
                <w:color w:val="000000" w:themeColor="text1"/>
                <w:lang w:val="ro-MD"/>
              </w:rPr>
              <w:t xml:space="preserve"> prin instrumente financiare” înseamnă o </w:t>
            </w:r>
            <w:proofErr w:type="spellStart"/>
            <w:r w:rsidRPr="004D6136">
              <w:rPr>
                <w:rFonts w:ascii="Times New Roman" w:hAnsi="Times New Roman" w:cs="Times New Roman"/>
                <w:bCs/>
                <w:color w:val="000000" w:themeColor="text1"/>
                <w:lang w:val="ro-MD"/>
              </w:rPr>
              <w:t>tranzacţie</w:t>
            </w:r>
            <w:proofErr w:type="spellEnd"/>
            <w:r w:rsidRPr="004D6136">
              <w:rPr>
                <w:rFonts w:ascii="Times New Roman" w:hAnsi="Times New Roman" w:cs="Times New Roman"/>
                <w:bCs/>
                <w:color w:val="000000" w:themeColor="text1"/>
                <w:lang w:val="ro-MD"/>
              </w:rPr>
              <w:t xml:space="preserve"> de răscumpărare, o </w:t>
            </w:r>
            <w:proofErr w:type="spellStart"/>
            <w:r w:rsidRPr="004D6136">
              <w:rPr>
                <w:rFonts w:ascii="Times New Roman" w:hAnsi="Times New Roman" w:cs="Times New Roman"/>
                <w:bCs/>
                <w:color w:val="000000" w:themeColor="text1"/>
                <w:lang w:val="ro-MD"/>
              </w:rPr>
              <w:t>tranzacţie</w:t>
            </w:r>
            <w:proofErr w:type="spellEnd"/>
            <w:r w:rsidRPr="004D6136">
              <w:rPr>
                <w:rFonts w:ascii="Times New Roman" w:hAnsi="Times New Roman" w:cs="Times New Roman"/>
                <w:bCs/>
                <w:color w:val="000000" w:themeColor="text1"/>
                <w:lang w:val="ro-MD"/>
              </w:rPr>
              <w:t xml:space="preserve"> de dare sau luare cu împrumut de titluri de valoare sau mărfuri sau o </w:t>
            </w:r>
            <w:proofErr w:type="spellStart"/>
            <w:r w:rsidRPr="004D6136">
              <w:rPr>
                <w:rFonts w:ascii="Times New Roman" w:hAnsi="Times New Roman" w:cs="Times New Roman"/>
                <w:bCs/>
                <w:color w:val="000000" w:themeColor="text1"/>
                <w:lang w:val="ro-MD"/>
              </w:rPr>
              <w:t>tranzacţie</w:t>
            </w:r>
            <w:proofErr w:type="spellEnd"/>
            <w:r w:rsidRPr="004D6136">
              <w:rPr>
                <w:rFonts w:ascii="Times New Roman" w:hAnsi="Times New Roman" w:cs="Times New Roman"/>
                <w:bCs/>
                <w:color w:val="000000" w:themeColor="text1"/>
                <w:lang w:val="ro-MD"/>
              </w:rPr>
              <w:t xml:space="preserve"> de creditare în marjă</w:t>
            </w:r>
          </w:p>
        </w:tc>
        <w:tc>
          <w:tcPr>
            <w:tcW w:w="1557" w:type="pct"/>
          </w:tcPr>
          <w:p w14:paraId="67DF9742" w14:textId="1D79EDDB" w:rsidR="0056324C" w:rsidRPr="004D6136" w:rsidRDefault="0056324C" w:rsidP="00287C67">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5.3. „</w:t>
            </w:r>
            <w:proofErr w:type="spellStart"/>
            <w:r w:rsidRPr="004D6136">
              <w:rPr>
                <w:rFonts w:ascii="Times New Roman" w:hAnsi="Times New Roman" w:cs="Times New Roman"/>
                <w:bCs/>
                <w:color w:val="000000" w:themeColor="text1"/>
                <w:lang w:val="ro-MD"/>
              </w:rPr>
              <w:t>operaţiune</w:t>
            </w:r>
            <w:proofErr w:type="spellEnd"/>
            <w:r w:rsidRPr="004D6136">
              <w:rPr>
                <w:rFonts w:ascii="Times New Roman" w:hAnsi="Times New Roman" w:cs="Times New Roman"/>
                <w:bCs/>
                <w:color w:val="000000" w:themeColor="text1"/>
                <w:lang w:val="ro-MD"/>
              </w:rPr>
              <w:t xml:space="preserve"> de </w:t>
            </w:r>
            <w:proofErr w:type="spellStart"/>
            <w:r w:rsidRPr="004D6136">
              <w:rPr>
                <w:rFonts w:ascii="Times New Roman" w:hAnsi="Times New Roman" w:cs="Times New Roman"/>
                <w:bCs/>
                <w:color w:val="000000" w:themeColor="text1"/>
                <w:lang w:val="ro-MD"/>
              </w:rPr>
              <w:t>finanţare</w:t>
            </w:r>
            <w:proofErr w:type="spellEnd"/>
            <w:r w:rsidRPr="004D6136">
              <w:rPr>
                <w:rFonts w:ascii="Times New Roman" w:hAnsi="Times New Roman" w:cs="Times New Roman"/>
                <w:bCs/>
                <w:color w:val="000000" w:themeColor="text1"/>
                <w:lang w:val="ro-MD"/>
              </w:rPr>
              <w:t xml:space="preserve"> prin instrumente financiare” înseamnă o </w:t>
            </w:r>
            <w:proofErr w:type="spellStart"/>
            <w:r w:rsidRPr="004D6136">
              <w:rPr>
                <w:rFonts w:ascii="Times New Roman" w:hAnsi="Times New Roman" w:cs="Times New Roman"/>
                <w:bCs/>
                <w:color w:val="000000" w:themeColor="text1"/>
                <w:lang w:val="ro-MD"/>
              </w:rPr>
              <w:t>tranzacţie</w:t>
            </w:r>
            <w:proofErr w:type="spellEnd"/>
            <w:r w:rsidRPr="004D6136">
              <w:rPr>
                <w:rFonts w:ascii="Times New Roman" w:hAnsi="Times New Roman" w:cs="Times New Roman"/>
                <w:bCs/>
                <w:color w:val="000000" w:themeColor="text1"/>
                <w:lang w:val="ro-MD"/>
              </w:rPr>
              <w:t xml:space="preserve"> de răscumpărare, o </w:t>
            </w:r>
            <w:proofErr w:type="spellStart"/>
            <w:r w:rsidRPr="004D6136">
              <w:rPr>
                <w:rFonts w:ascii="Times New Roman" w:hAnsi="Times New Roman" w:cs="Times New Roman"/>
                <w:bCs/>
                <w:color w:val="000000" w:themeColor="text1"/>
                <w:lang w:val="ro-MD"/>
              </w:rPr>
              <w:t>tranzacţie</w:t>
            </w:r>
            <w:proofErr w:type="spellEnd"/>
            <w:r w:rsidRPr="004D6136">
              <w:rPr>
                <w:rFonts w:ascii="Times New Roman" w:hAnsi="Times New Roman" w:cs="Times New Roman"/>
                <w:bCs/>
                <w:color w:val="000000" w:themeColor="text1"/>
                <w:lang w:val="ro-MD"/>
              </w:rPr>
              <w:t xml:space="preserve"> de dare sau luare cu împrumut de titluri de valoare sau mărfuri sau o </w:t>
            </w:r>
            <w:proofErr w:type="spellStart"/>
            <w:r w:rsidRPr="004D6136">
              <w:rPr>
                <w:rFonts w:ascii="Times New Roman" w:hAnsi="Times New Roman" w:cs="Times New Roman"/>
                <w:bCs/>
                <w:color w:val="000000" w:themeColor="text1"/>
                <w:lang w:val="ro-MD"/>
              </w:rPr>
              <w:t>tranzacţie</w:t>
            </w:r>
            <w:proofErr w:type="spellEnd"/>
            <w:r w:rsidRPr="004D6136">
              <w:rPr>
                <w:rFonts w:ascii="Times New Roman" w:hAnsi="Times New Roman" w:cs="Times New Roman"/>
                <w:bCs/>
                <w:color w:val="000000" w:themeColor="text1"/>
                <w:lang w:val="ro-MD"/>
              </w:rPr>
              <w:t xml:space="preserve"> de creditare în marjă</w:t>
            </w:r>
          </w:p>
        </w:tc>
        <w:tc>
          <w:tcPr>
            <w:tcW w:w="585" w:type="pct"/>
          </w:tcPr>
          <w:p w14:paraId="07BAA51C" w14:textId="53F794BB" w:rsidR="0056324C" w:rsidRPr="004D6136" w:rsidRDefault="00DB78A5" w:rsidP="00287C67">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compatibil</w:t>
            </w:r>
          </w:p>
        </w:tc>
        <w:tc>
          <w:tcPr>
            <w:tcW w:w="1261" w:type="pct"/>
          </w:tcPr>
          <w:p w14:paraId="1E5CC664" w14:textId="77777777" w:rsidR="0056324C" w:rsidRPr="004D6136" w:rsidRDefault="0056324C" w:rsidP="00287C67">
            <w:pPr>
              <w:spacing w:line="276" w:lineRule="auto"/>
              <w:jc w:val="both"/>
              <w:rPr>
                <w:rFonts w:ascii="Times New Roman" w:hAnsi="Times New Roman" w:cs="Times New Roman"/>
                <w:bCs/>
                <w:color w:val="000000" w:themeColor="text1"/>
                <w:lang w:val="ro-MD"/>
              </w:rPr>
            </w:pPr>
          </w:p>
        </w:tc>
      </w:tr>
      <w:bookmarkEnd w:id="4"/>
      <w:tr w:rsidR="000A2F4D" w:rsidRPr="004D6136" w14:paraId="1C6B38E4" w14:textId="77777777" w:rsidTr="000A2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0402F93F" w14:textId="77777777" w:rsidR="000A2F4D" w:rsidRPr="004D6136" w:rsidRDefault="000A2F4D" w:rsidP="004956A6">
            <w:pPr>
              <w:spacing w:after="0" w:line="276" w:lineRule="auto"/>
              <w:jc w:val="both"/>
              <w:rPr>
                <w:rFonts w:ascii="Times New Roman" w:hAnsi="Times New Roman" w:cs="Times New Roman"/>
                <w:b/>
                <w:color w:val="000000" w:themeColor="text1"/>
                <w:lang w:val="ro-MD"/>
              </w:rPr>
            </w:pPr>
            <w:r w:rsidRPr="004D6136">
              <w:rPr>
                <w:rFonts w:ascii="Times New Roman" w:hAnsi="Times New Roman" w:cs="Times New Roman"/>
                <w:b/>
                <w:color w:val="000000" w:themeColor="text1"/>
                <w:lang w:val="ro-MD"/>
              </w:rPr>
              <w:t>PARTEA A TREIA</w:t>
            </w:r>
          </w:p>
          <w:p w14:paraId="0BF956EE" w14:textId="66EF43A5" w:rsidR="000A2F4D" w:rsidRPr="004D6136" w:rsidRDefault="000A2F4D" w:rsidP="004956A6">
            <w:pPr>
              <w:spacing w:after="0" w:line="276" w:lineRule="auto"/>
              <w:jc w:val="both"/>
              <w:rPr>
                <w:rFonts w:ascii="Times New Roman" w:hAnsi="Times New Roman" w:cs="Times New Roman"/>
                <w:b/>
                <w:color w:val="000000" w:themeColor="text1"/>
                <w:lang w:val="ro-MD"/>
              </w:rPr>
            </w:pPr>
            <w:r w:rsidRPr="004D6136">
              <w:rPr>
                <w:rFonts w:ascii="Times New Roman" w:hAnsi="Times New Roman" w:cs="Times New Roman"/>
                <w:b/>
                <w:color w:val="000000" w:themeColor="text1"/>
                <w:lang w:val="ro-MD"/>
              </w:rPr>
              <w:t>CERINŢE DE CAPITAL</w:t>
            </w:r>
          </w:p>
          <w:p w14:paraId="778898A3" w14:textId="77777777" w:rsidR="000A2F4D" w:rsidRPr="004D6136" w:rsidRDefault="000A2F4D" w:rsidP="004956A6">
            <w:pPr>
              <w:spacing w:after="0" w:line="276" w:lineRule="auto"/>
              <w:jc w:val="both"/>
              <w:rPr>
                <w:rFonts w:ascii="Times New Roman" w:hAnsi="Times New Roman" w:cs="Times New Roman"/>
                <w:b/>
                <w:color w:val="000000" w:themeColor="text1"/>
                <w:lang w:val="ro-MD"/>
              </w:rPr>
            </w:pPr>
            <w:r w:rsidRPr="004D6136">
              <w:rPr>
                <w:rFonts w:ascii="Times New Roman" w:hAnsi="Times New Roman" w:cs="Times New Roman"/>
                <w:b/>
                <w:color w:val="000000" w:themeColor="text1"/>
                <w:lang w:val="ro-MD"/>
              </w:rPr>
              <w:t>TITLUL I</w:t>
            </w:r>
          </w:p>
          <w:p w14:paraId="4E549D8D" w14:textId="77777777" w:rsidR="000A2F4D" w:rsidRPr="004D6136" w:rsidRDefault="000A2F4D" w:rsidP="004956A6">
            <w:pPr>
              <w:spacing w:after="0" w:line="276" w:lineRule="auto"/>
              <w:jc w:val="both"/>
              <w:rPr>
                <w:rFonts w:ascii="Times New Roman" w:hAnsi="Times New Roman" w:cs="Times New Roman"/>
                <w:b/>
                <w:color w:val="000000" w:themeColor="text1"/>
                <w:lang w:val="ro-MD"/>
              </w:rPr>
            </w:pPr>
            <w:r w:rsidRPr="004D6136">
              <w:rPr>
                <w:rFonts w:ascii="Times New Roman" w:hAnsi="Times New Roman" w:cs="Times New Roman"/>
                <w:b/>
                <w:color w:val="000000" w:themeColor="text1"/>
                <w:lang w:val="ro-MD"/>
              </w:rPr>
              <w:t>CERINŢE GENERALE, EVALUARE ȘI RAPORTARE</w:t>
            </w:r>
          </w:p>
          <w:p w14:paraId="1F2CF946" w14:textId="77777777" w:rsidR="000A2F4D" w:rsidRPr="004D6136" w:rsidRDefault="000A2F4D" w:rsidP="004956A6">
            <w:pPr>
              <w:spacing w:after="0" w:line="276" w:lineRule="auto"/>
              <w:jc w:val="both"/>
              <w:rPr>
                <w:rFonts w:ascii="Times New Roman" w:hAnsi="Times New Roman" w:cs="Times New Roman"/>
                <w:b/>
                <w:color w:val="000000" w:themeColor="text1"/>
                <w:lang w:val="ro-MD"/>
              </w:rPr>
            </w:pPr>
            <w:r w:rsidRPr="004D6136">
              <w:rPr>
                <w:rFonts w:ascii="Times New Roman" w:hAnsi="Times New Roman" w:cs="Times New Roman"/>
                <w:b/>
                <w:color w:val="000000" w:themeColor="text1"/>
                <w:lang w:val="ro-MD"/>
              </w:rPr>
              <w:t>CAPITOLUL 1</w:t>
            </w:r>
          </w:p>
          <w:p w14:paraId="1B63BE1C" w14:textId="77777777" w:rsidR="000A2F4D" w:rsidRPr="004D6136" w:rsidRDefault="000A2F4D" w:rsidP="004956A6">
            <w:pPr>
              <w:spacing w:after="0" w:line="276" w:lineRule="auto"/>
              <w:jc w:val="both"/>
              <w:rPr>
                <w:rFonts w:ascii="Times New Roman" w:hAnsi="Times New Roman" w:cs="Times New Roman"/>
                <w:b/>
                <w:color w:val="000000" w:themeColor="text1"/>
                <w:lang w:val="ro-MD"/>
              </w:rPr>
            </w:pPr>
            <w:r w:rsidRPr="004D6136">
              <w:rPr>
                <w:rFonts w:ascii="Times New Roman" w:hAnsi="Times New Roman" w:cs="Times New Roman"/>
                <w:b/>
                <w:color w:val="000000" w:themeColor="text1"/>
                <w:lang w:val="ro-MD"/>
              </w:rPr>
              <w:t>Nivelul solicitat de fonduri proprii</w:t>
            </w:r>
          </w:p>
          <w:p w14:paraId="5C80FD2E" w14:textId="607A0CF2" w:rsidR="000A2F4D" w:rsidRPr="004D6136" w:rsidRDefault="000A2F4D" w:rsidP="004956A6">
            <w:pPr>
              <w:spacing w:after="0" w:line="276" w:lineRule="auto"/>
              <w:jc w:val="both"/>
              <w:rPr>
                <w:rFonts w:ascii="Times New Roman" w:hAnsi="Times New Roman" w:cs="Times New Roman"/>
                <w:b/>
                <w:color w:val="000000" w:themeColor="text1"/>
                <w:lang w:val="ro-MD"/>
              </w:rPr>
            </w:pPr>
            <w:r w:rsidRPr="004D6136">
              <w:rPr>
                <w:rFonts w:ascii="Times New Roman" w:hAnsi="Times New Roman" w:cs="Times New Roman"/>
                <w:b/>
                <w:color w:val="000000" w:themeColor="text1"/>
                <w:lang w:val="ro-MD"/>
              </w:rPr>
              <w:t>Secțiunea 1</w:t>
            </w:r>
          </w:p>
          <w:p w14:paraId="5B7DB2B7" w14:textId="71D81939" w:rsidR="000A2F4D" w:rsidRPr="004D6136" w:rsidRDefault="000A2F4D" w:rsidP="004956A6">
            <w:pPr>
              <w:spacing w:after="0" w:line="276" w:lineRule="auto"/>
              <w:jc w:val="both"/>
              <w:rPr>
                <w:rFonts w:ascii="Times New Roman" w:hAnsi="Times New Roman" w:cs="Times New Roman"/>
                <w:b/>
                <w:color w:val="000000" w:themeColor="text1"/>
                <w:lang w:val="ro-MD"/>
              </w:rPr>
            </w:pPr>
            <w:proofErr w:type="spellStart"/>
            <w:r w:rsidRPr="004D6136">
              <w:rPr>
                <w:rFonts w:ascii="Times New Roman" w:hAnsi="Times New Roman" w:cs="Times New Roman"/>
                <w:b/>
                <w:color w:val="000000" w:themeColor="text1"/>
                <w:lang w:val="ro-MD"/>
              </w:rPr>
              <w:t>Cerinţe</w:t>
            </w:r>
            <w:proofErr w:type="spellEnd"/>
            <w:r w:rsidRPr="004D6136">
              <w:rPr>
                <w:rFonts w:ascii="Times New Roman" w:hAnsi="Times New Roman" w:cs="Times New Roman"/>
                <w:b/>
                <w:color w:val="000000" w:themeColor="text1"/>
                <w:lang w:val="ro-MD"/>
              </w:rPr>
              <w:t xml:space="preserve"> de fonduri proprii pentru </w:t>
            </w:r>
            <w:proofErr w:type="spellStart"/>
            <w:r w:rsidRPr="004D6136">
              <w:rPr>
                <w:rFonts w:ascii="Times New Roman" w:hAnsi="Times New Roman" w:cs="Times New Roman"/>
                <w:b/>
                <w:color w:val="000000" w:themeColor="text1"/>
                <w:lang w:val="ro-MD"/>
              </w:rPr>
              <w:t>instituţii</w:t>
            </w:r>
            <w:proofErr w:type="spellEnd"/>
          </w:p>
          <w:p w14:paraId="003DEAA1" w14:textId="77777777" w:rsidR="000A2F4D" w:rsidRPr="004D6136" w:rsidRDefault="000A2F4D" w:rsidP="004956A6">
            <w:pPr>
              <w:spacing w:after="0" w:line="276" w:lineRule="auto"/>
              <w:jc w:val="both"/>
              <w:rPr>
                <w:rFonts w:ascii="Times New Roman" w:hAnsi="Times New Roman" w:cs="Times New Roman"/>
                <w:b/>
                <w:color w:val="000000" w:themeColor="text1"/>
                <w:lang w:val="ro-MD"/>
              </w:rPr>
            </w:pPr>
            <w:r w:rsidRPr="004D6136">
              <w:rPr>
                <w:rFonts w:ascii="Times New Roman" w:hAnsi="Times New Roman" w:cs="Times New Roman"/>
                <w:b/>
                <w:color w:val="000000" w:themeColor="text1"/>
                <w:lang w:val="ro-MD"/>
              </w:rPr>
              <w:t>Articolul 92</w:t>
            </w:r>
          </w:p>
          <w:p w14:paraId="041F3D9F" w14:textId="625ED54A" w:rsidR="000A2F4D" w:rsidRPr="004D6136" w:rsidRDefault="000A2F4D" w:rsidP="004956A6">
            <w:pPr>
              <w:spacing w:after="0" w:line="276" w:lineRule="auto"/>
              <w:jc w:val="both"/>
              <w:rPr>
                <w:rFonts w:ascii="Times New Roman" w:hAnsi="Times New Roman" w:cs="Times New Roman"/>
                <w:bCs/>
                <w:color w:val="000000" w:themeColor="text1"/>
                <w:lang w:val="ro-MD"/>
              </w:rPr>
            </w:pPr>
            <w:proofErr w:type="spellStart"/>
            <w:r w:rsidRPr="004D6136">
              <w:rPr>
                <w:rFonts w:ascii="Times New Roman" w:hAnsi="Times New Roman" w:cs="Times New Roman"/>
                <w:b/>
                <w:color w:val="000000" w:themeColor="text1"/>
                <w:lang w:val="ro-MD"/>
              </w:rPr>
              <w:t>Cerinţe</w:t>
            </w:r>
            <w:proofErr w:type="spellEnd"/>
            <w:r w:rsidRPr="004D6136">
              <w:rPr>
                <w:rFonts w:ascii="Times New Roman" w:hAnsi="Times New Roman" w:cs="Times New Roman"/>
                <w:b/>
                <w:color w:val="000000" w:themeColor="text1"/>
                <w:lang w:val="ro-MD"/>
              </w:rPr>
              <w:t xml:space="preserve"> de fonduri proprii</w:t>
            </w:r>
          </w:p>
        </w:tc>
        <w:tc>
          <w:tcPr>
            <w:tcW w:w="1557" w:type="pct"/>
          </w:tcPr>
          <w:p w14:paraId="3D8BA526" w14:textId="77777777" w:rsidR="000A2F4D" w:rsidRPr="004D6136" w:rsidRDefault="000A2F4D" w:rsidP="00287C67">
            <w:pPr>
              <w:spacing w:after="0" w:line="276" w:lineRule="auto"/>
              <w:jc w:val="both"/>
              <w:rPr>
                <w:rFonts w:ascii="Times New Roman" w:hAnsi="Times New Roman" w:cs="Times New Roman"/>
                <w:bCs/>
                <w:color w:val="000000" w:themeColor="text1"/>
                <w:lang w:val="ro-MD"/>
              </w:rPr>
            </w:pPr>
          </w:p>
        </w:tc>
        <w:tc>
          <w:tcPr>
            <w:tcW w:w="585" w:type="pct"/>
          </w:tcPr>
          <w:p w14:paraId="314B78F9" w14:textId="77777777" w:rsidR="000A2F4D" w:rsidRPr="004D6136" w:rsidRDefault="000A2F4D" w:rsidP="00287C67">
            <w:pPr>
              <w:spacing w:line="276" w:lineRule="auto"/>
              <w:jc w:val="both"/>
              <w:rPr>
                <w:rFonts w:ascii="Times New Roman" w:hAnsi="Times New Roman" w:cs="Times New Roman"/>
                <w:bCs/>
                <w:color w:val="000000" w:themeColor="text1"/>
                <w:lang w:val="ro-MD"/>
              </w:rPr>
            </w:pPr>
          </w:p>
        </w:tc>
        <w:tc>
          <w:tcPr>
            <w:tcW w:w="1261" w:type="pct"/>
          </w:tcPr>
          <w:p w14:paraId="376CBDF3" w14:textId="77777777" w:rsidR="000A2F4D" w:rsidRPr="004D6136" w:rsidRDefault="000A2F4D" w:rsidP="00287C67">
            <w:pPr>
              <w:spacing w:line="276" w:lineRule="auto"/>
              <w:jc w:val="both"/>
              <w:rPr>
                <w:rFonts w:ascii="Times New Roman" w:hAnsi="Times New Roman" w:cs="Times New Roman"/>
                <w:bCs/>
                <w:color w:val="000000" w:themeColor="text1"/>
                <w:lang w:val="ro-MD"/>
              </w:rPr>
            </w:pPr>
          </w:p>
        </w:tc>
      </w:tr>
      <w:tr w:rsidR="000A2F4D" w:rsidRPr="004D6136" w14:paraId="0667E124" w14:textId="77777777" w:rsidTr="000A2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5C977426" w14:textId="4BE6A705" w:rsidR="000A2F4D" w:rsidRPr="004D6136" w:rsidRDefault="000A2F4D" w:rsidP="004956A6">
            <w:pPr>
              <w:spacing w:after="0" w:line="276" w:lineRule="auto"/>
              <w:jc w:val="both"/>
              <w:rPr>
                <w:rFonts w:ascii="Times New Roman" w:hAnsi="Times New Roman" w:cs="Times New Roman"/>
                <w:bCs/>
                <w:color w:val="000000" w:themeColor="text1"/>
                <w:lang w:val="it-IT"/>
              </w:rPr>
            </w:pPr>
            <w:r w:rsidRPr="004D6136">
              <w:rPr>
                <w:rFonts w:ascii="Times New Roman" w:hAnsi="Times New Roman" w:cs="Times New Roman"/>
                <w:bCs/>
                <w:color w:val="000000" w:themeColor="text1"/>
                <w:lang w:val="it-IT"/>
              </w:rPr>
              <w:t>(1) În conformitate cu articolele 93 și 94, instituţiile îndeplinesc în orice moment următoarele cerinţe de fonduri proprii:</w:t>
            </w:r>
          </w:p>
          <w:p w14:paraId="394FAC1F" w14:textId="77777777" w:rsidR="000A2F4D" w:rsidRPr="004D6136" w:rsidRDefault="000A2F4D" w:rsidP="004956A6">
            <w:pPr>
              <w:spacing w:after="0" w:line="276" w:lineRule="auto"/>
              <w:jc w:val="both"/>
              <w:rPr>
                <w:rFonts w:ascii="Times New Roman" w:hAnsi="Times New Roman" w:cs="Times New Roman"/>
                <w:bCs/>
                <w:color w:val="000000" w:themeColor="text1"/>
                <w:lang w:val="it-IT"/>
              </w:rPr>
            </w:pPr>
            <w:r w:rsidRPr="004D6136">
              <w:rPr>
                <w:rFonts w:ascii="Times New Roman" w:hAnsi="Times New Roman" w:cs="Times New Roman"/>
                <w:bCs/>
                <w:color w:val="000000" w:themeColor="text1"/>
                <w:lang w:val="it-IT"/>
              </w:rPr>
              <w:t>(a) o rată a fondurilor proprii de nivel 1 de bază de 4,5 %;</w:t>
            </w:r>
          </w:p>
          <w:p w14:paraId="408B04B1" w14:textId="77777777" w:rsidR="000A2F4D" w:rsidRPr="004D6136" w:rsidRDefault="000A2F4D" w:rsidP="004956A6">
            <w:pPr>
              <w:spacing w:after="0" w:line="276" w:lineRule="auto"/>
              <w:jc w:val="both"/>
              <w:rPr>
                <w:rFonts w:ascii="Times New Roman" w:hAnsi="Times New Roman" w:cs="Times New Roman"/>
                <w:bCs/>
                <w:color w:val="000000" w:themeColor="text1"/>
                <w:lang w:val="it-IT"/>
              </w:rPr>
            </w:pPr>
            <w:r w:rsidRPr="004D6136">
              <w:rPr>
                <w:rFonts w:ascii="Times New Roman" w:hAnsi="Times New Roman" w:cs="Times New Roman"/>
                <w:bCs/>
                <w:color w:val="000000" w:themeColor="text1"/>
                <w:lang w:val="it-IT"/>
              </w:rPr>
              <w:lastRenderedPageBreak/>
              <w:t>(b) o rată a fondurilor proprii de nivel 1 de 6 %;</w:t>
            </w:r>
          </w:p>
          <w:p w14:paraId="303FD591" w14:textId="77777777" w:rsidR="000A2F4D" w:rsidRPr="004D6136" w:rsidRDefault="000A2F4D" w:rsidP="004956A6">
            <w:pPr>
              <w:spacing w:after="0" w:line="276" w:lineRule="auto"/>
              <w:jc w:val="both"/>
              <w:rPr>
                <w:rFonts w:ascii="Times New Roman" w:hAnsi="Times New Roman" w:cs="Times New Roman"/>
                <w:bCs/>
                <w:color w:val="000000" w:themeColor="text1"/>
                <w:lang w:val="it-IT"/>
              </w:rPr>
            </w:pPr>
            <w:r w:rsidRPr="004D6136">
              <w:rPr>
                <w:rFonts w:ascii="Times New Roman" w:hAnsi="Times New Roman" w:cs="Times New Roman"/>
                <w:bCs/>
                <w:color w:val="000000" w:themeColor="text1"/>
                <w:lang w:val="it-IT"/>
              </w:rPr>
              <w:t>(c) o rată a fondurilor proprii totale de 8 %;</w:t>
            </w:r>
          </w:p>
          <w:p w14:paraId="1BF0D84C" w14:textId="77777777" w:rsidR="000A2F4D" w:rsidRPr="004D6136" w:rsidRDefault="000A2F4D" w:rsidP="004956A6">
            <w:pPr>
              <w:spacing w:after="0" w:line="276" w:lineRule="auto"/>
              <w:jc w:val="both"/>
              <w:rPr>
                <w:rFonts w:ascii="Times New Roman" w:hAnsi="Times New Roman" w:cs="Times New Roman"/>
                <w:b/>
                <w:color w:val="000000" w:themeColor="text1"/>
                <w:lang w:val="it-IT"/>
              </w:rPr>
            </w:pPr>
            <w:r w:rsidRPr="004D6136">
              <w:rPr>
                <w:rFonts w:ascii="Times New Roman" w:hAnsi="Times New Roman" w:cs="Times New Roman"/>
                <w:b/>
                <w:color w:val="000000" w:themeColor="text1"/>
                <w:lang w:val="it-IT"/>
              </w:rPr>
              <w:t>▼M8</w:t>
            </w:r>
          </w:p>
          <w:p w14:paraId="01A68D11" w14:textId="77777777" w:rsidR="000A2F4D" w:rsidRPr="004D6136" w:rsidRDefault="000A2F4D" w:rsidP="004956A6">
            <w:pPr>
              <w:spacing w:after="0" w:line="276" w:lineRule="auto"/>
              <w:jc w:val="both"/>
              <w:rPr>
                <w:rFonts w:ascii="Times New Roman" w:hAnsi="Times New Roman" w:cs="Times New Roman"/>
                <w:bCs/>
                <w:color w:val="000000" w:themeColor="text1"/>
                <w:lang w:val="it-IT"/>
              </w:rPr>
            </w:pPr>
            <w:r w:rsidRPr="004D6136">
              <w:rPr>
                <w:rFonts w:ascii="Times New Roman" w:hAnsi="Times New Roman" w:cs="Times New Roman"/>
                <w:bCs/>
                <w:color w:val="000000" w:themeColor="text1"/>
                <w:lang w:val="it-IT"/>
              </w:rPr>
              <w:t>(d) un indicator al efectului de levier de 3 %.</w:t>
            </w:r>
          </w:p>
          <w:p w14:paraId="4029390F" w14:textId="65A24575" w:rsidR="000A2F4D" w:rsidRPr="004D6136" w:rsidRDefault="000A2F4D" w:rsidP="004956A6">
            <w:pPr>
              <w:spacing w:after="0" w:line="276" w:lineRule="auto"/>
              <w:jc w:val="both"/>
              <w:rPr>
                <w:rFonts w:ascii="Times New Roman" w:hAnsi="Times New Roman" w:cs="Times New Roman"/>
                <w:bCs/>
                <w:color w:val="000000" w:themeColor="text1"/>
                <w:lang w:val="it-IT"/>
              </w:rPr>
            </w:pPr>
            <w:r w:rsidRPr="004D6136">
              <w:rPr>
                <w:rFonts w:ascii="Times New Roman" w:hAnsi="Times New Roman" w:cs="Times New Roman"/>
                <w:bCs/>
                <w:color w:val="000000" w:themeColor="text1"/>
                <w:lang w:val="it-IT"/>
              </w:rPr>
              <w:t>(1a) În plus faţă de cerinţa stabilită la alineatul (1) litera (d) de la prezentul articol, o G-SII menţine un amortizor pentru indicatorul efectului de levier egal cu indicatorul de măsurare a expunerii totale, menţionat la articolul 429 alineatul (4) din prezentul regulament, al GSII înmulţit cu 50 % din rata amortizorului G-SII aplicabilă G-SII în conformitate cu articolul 131 din Directiva 2013/36/UE.</w:t>
            </w:r>
          </w:p>
          <w:p w14:paraId="09E95113" w14:textId="77777777" w:rsidR="000A2F4D" w:rsidRPr="004D6136" w:rsidRDefault="000A2F4D" w:rsidP="004956A6">
            <w:pPr>
              <w:spacing w:after="0" w:line="276" w:lineRule="auto"/>
              <w:jc w:val="both"/>
              <w:rPr>
                <w:rFonts w:ascii="Times New Roman" w:hAnsi="Times New Roman" w:cs="Times New Roman"/>
                <w:bCs/>
                <w:color w:val="000000" w:themeColor="text1"/>
                <w:lang w:val="it-IT"/>
              </w:rPr>
            </w:pPr>
            <w:r w:rsidRPr="004D6136">
              <w:rPr>
                <w:rFonts w:ascii="Times New Roman" w:hAnsi="Times New Roman" w:cs="Times New Roman"/>
                <w:bCs/>
                <w:color w:val="000000" w:themeColor="text1"/>
                <w:lang w:val="it-IT"/>
              </w:rPr>
              <w:t>O G-SII îndeplinește cerinţa amortizorului pentru indicatorul efectului de levier doar cu fondurile proprii de nivel 1. Fondurile proprii de nivel 1 care sunt utilizate pentru a îndeplini cerinţa amortizorului pentru indicatorul efectului de levier nu se utilizează în scopul îndeplinirii niciuneia dintre cerinţele bazate pe efectul de levier stabilite în prezentul regulament și în Directiva 2013/36/UE, cu excepţia cazului în care aceste acte prevăd altfel în mod explicit.</w:t>
            </w:r>
          </w:p>
          <w:p w14:paraId="282B2A0B" w14:textId="4ED978D8" w:rsidR="000A2F4D" w:rsidRPr="004D6136" w:rsidRDefault="000A2F4D" w:rsidP="004956A6">
            <w:pPr>
              <w:spacing w:after="0" w:line="276" w:lineRule="auto"/>
              <w:jc w:val="both"/>
              <w:rPr>
                <w:rFonts w:ascii="Times New Roman" w:hAnsi="Times New Roman" w:cs="Times New Roman"/>
                <w:bCs/>
                <w:color w:val="000000" w:themeColor="text1"/>
                <w:lang w:val="it-IT"/>
              </w:rPr>
            </w:pPr>
            <w:r w:rsidRPr="004D6136">
              <w:rPr>
                <w:rFonts w:ascii="Times New Roman" w:hAnsi="Times New Roman" w:cs="Times New Roman"/>
                <w:bCs/>
                <w:color w:val="000000" w:themeColor="text1"/>
                <w:lang w:val="it-IT"/>
              </w:rPr>
              <w:t>În cazul în care o G-SII nu îndeplinește cerinţa amortizorului pentru indicatorul efectului de levier, aceasta face obiectul cerinţei de conservare a capitalului în conformitate cu articolul 141b din Directiva 2013/36/UE.</w:t>
            </w:r>
          </w:p>
          <w:p w14:paraId="133DCC4B" w14:textId="0C61AB36" w:rsidR="000A2F4D" w:rsidRPr="004D6136" w:rsidRDefault="000A2F4D" w:rsidP="004956A6">
            <w:pPr>
              <w:spacing w:after="0" w:line="276" w:lineRule="auto"/>
              <w:jc w:val="both"/>
              <w:rPr>
                <w:rFonts w:ascii="Times New Roman" w:hAnsi="Times New Roman" w:cs="Times New Roman"/>
                <w:bCs/>
                <w:color w:val="000000" w:themeColor="text1"/>
                <w:lang w:val="it-IT"/>
              </w:rPr>
            </w:pPr>
            <w:r w:rsidRPr="004D6136">
              <w:rPr>
                <w:rFonts w:ascii="Times New Roman" w:hAnsi="Times New Roman" w:cs="Times New Roman"/>
                <w:bCs/>
                <w:color w:val="000000" w:themeColor="text1"/>
                <w:lang w:val="it-IT"/>
              </w:rPr>
              <w:lastRenderedPageBreak/>
              <w:t>În cazul în care o G-SII nu respectă, în același timp, cerinţa amortizorului pentru indicatorul efectului de levier și cerinţa amortizorului combinat, astfel cum este definită la articolul 128 punctul 6 din Directiva 2013/36/UE, aceasta face obiectul celei mai mari dintre</w:t>
            </w:r>
          </w:p>
          <w:p w14:paraId="2B8469E9" w14:textId="716F03B9" w:rsidR="000A2F4D" w:rsidRPr="004D6136" w:rsidRDefault="000A2F4D" w:rsidP="004956A6">
            <w:pPr>
              <w:spacing w:after="0" w:line="276" w:lineRule="auto"/>
              <w:jc w:val="both"/>
              <w:rPr>
                <w:rFonts w:ascii="Times New Roman" w:hAnsi="Times New Roman" w:cs="Times New Roman"/>
                <w:bCs/>
                <w:color w:val="000000" w:themeColor="text1"/>
                <w:lang w:val="it-IT"/>
              </w:rPr>
            </w:pPr>
            <w:r w:rsidRPr="004D6136">
              <w:rPr>
                <w:rFonts w:ascii="Times New Roman" w:hAnsi="Times New Roman" w:cs="Times New Roman"/>
                <w:bCs/>
                <w:color w:val="000000" w:themeColor="text1"/>
                <w:lang w:val="it-IT"/>
              </w:rPr>
              <w:t>cerinţele de conservare a capitalului de la articolele 141 și 141b din directiva menţionată.</w:t>
            </w:r>
          </w:p>
        </w:tc>
        <w:tc>
          <w:tcPr>
            <w:tcW w:w="1557" w:type="pct"/>
          </w:tcPr>
          <w:p w14:paraId="0922822E" w14:textId="4D2013E5" w:rsidR="00A55E6A" w:rsidRPr="004D6136" w:rsidRDefault="00DC2DE3" w:rsidP="00DC2DE3">
            <w:pPr>
              <w:spacing w:after="0" w:line="276" w:lineRule="auto"/>
              <w:jc w:val="both"/>
              <w:rPr>
                <w:rFonts w:ascii="Times New Roman" w:hAnsi="Times New Roman" w:cs="Times New Roman"/>
                <w:bCs/>
                <w:color w:val="000000" w:themeColor="text1"/>
                <w:lang w:val="it-IT"/>
              </w:rPr>
            </w:pPr>
            <w:r w:rsidRPr="004D6136">
              <w:rPr>
                <w:rFonts w:ascii="Times New Roman" w:hAnsi="Times New Roman" w:cs="Times New Roman"/>
                <w:bCs/>
                <w:color w:val="000000" w:themeColor="text1"/>
                <w:lang w:val="it-IT"/>
              </w:rPr>
              <w:lastRenderedPageBreak/>
              <w:t xml:space="preserve">3. </w:t>
            </w:r>
            <w:r w:rsidR="00A55E6A" w:rsidRPr="004D6136">
              <w:rPr>
                <w:rFonts w:ascii="Times New Roman" w:hAnsi="Times New Roman" w:cs="Times New Roman"/>
                <w:bCs/>
                <w:color w:val="000000" w:themeColor="text1"/>
                <w:lang w:val="it-IT"/>
              </w:rPr>
              <w:t xml:space="preserve">Regulamentul cu privire la fondurile proprii ale băncilor şi cerinţele de capital, aprobat prin Hotărârea Comitetului executiv al Băncii Naţionale a Moldovei nr.109/2018 (Monitorul Oficial al Republicii Moldova, 2018, nr.183-194, art.899), înregistrat la </w:t>
            </w:r>
            <w:r w:rsidR="00A55E6A" w:rsidRPr="004D6136">
              <w:rPr>
                <w:rFonts w:ascii="Times New Roman" w:hAnsi="Times New Roman" w:cs="Times New Roman"/>
                <w:bCs/>
                <w:color w:val="000000" w:themeColor="text1"/>
                <w:lang w:val="it-IT"/>
              </w:rPr>
              <w:lastRenderedPageBreak/>
              <w:t>Ministerul Justiţiei al Republicii Moldova cu nr.1332/2018, se modifică după cum urmează:</w:t>
            </w:r>
          </w:p>
          <w:p w14:paraId="0BE8D2CA" w14:textId="77FB7674" w:rsidR="00A55E6A" w:rsidRPr="004D6136" w:rsidRDefault="00A55E6A" w:rsidP="00DC2DE3">
            <w:pPr>
              <w:spacing w:after="0" w:line="276" w:lineRule="auto"/>
              <w:jc w:val="both"/>
              <w:rPr>
                <w:rFonts w:ascii="Times New Roman" w:hAnsi="Times New Roman" w:cs="Times New Roman"/>
                <w:bCs/>
                <w:color w:val="000000" w:themeColor="text1"/>
                <w:lang w:val="it-IT"/>
              </w:rPr>
            </w:pPr>
            <w:r w:rsidRPr="004D6136">
              <w:rPr>
                <w:rFonts w:ascii="Times New Roman" w:hAnsi="Times New Roman" w:cs="Times New Roman"/>
                <w:bCs/>
                <w:color w:val="000000" w:themeColor="text1"/>
                <w:lang w:val="it-IT"/>
              </w:rPr>
              <w:t>3.1. Punctul 130 se completează cu subpuncul 4) cu următorul conținut : „4) un indicator al efectului de levier de 3 %. ”</w:t>
            </w:r>
          </w:p>
          <w:p w14:paraId="11DFE883" w14:textId="77777777" w:rsidR="000A2F4D" w:rsidRPr="004D6136" w:rsidRDefault="000A2F4D" w:rsidP="00287C67">
            <w:pPr>
              <w:spacing w:after="0" w:line="276" w:lineRule="auto"/>
              <w:jc w:val="both"/>
              <w:rPr>
                <w:rFonts w:ascii="Times New Roman" w:hAnsi="Times New Roman" w:cs="Times New Roman"/>
                <w:bCs/>
                <w:color w:val="000000" w:themeColor="text1"/>
                <w:lang w:val="ro-RO"/>
              </w:rPr>
            </w:pPr>
          </w:p>
        </w:tc>
        <w:tc>
          <w:tcPr>
            <w:tcW w:w="585" w:type="pct"/>
          </w:tcPr>
          <w:p w14:paraId="55E7AD66" w14:textId="781543EB" w:rsidR="000A2F4D" w:rsidRPr="004D6136" w:rsidRDefault="00721601" w:rsidP="00287C67">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Parțial compatibil</w:t>
            </w:r>
          </w:p>
        </w:tc>
        <w:tc>
          <w:tcPr>
            <w:tcW w:w="1261" w:type="pct"/>
          </w:tcPr>
          <w:p w14:paraId="5C9B8970" w14:textId="5FCA8D2B" w:rsidR="000A2F4D" w:rsidRPr="004D6136" w:rsidRDefault="000A2F4D" w:rsidP="001B314E">
            <w:pPr>
              <w:spacing w:line="276" w:lineRule="auto"/>
              <w:jc w:val="both"/>
              <w:rPr>
                <w:rFonts w:ascii="Times New Roman" w:hAnsi="Times New Roman" w:cs="Times New Roman"/>
                <w:bCs/>
                <w:color w:val="000000" w:themeColor="text1"/>
                <w:lang w:val="ro-RO"/>
              </w:rPr>
            </w:pPr>
          </w:p>
          <w:p w14:paraId="33F40AA8" w14:textId="274E7047" w:rsidR="00721601" w:rsidRPr="004D6136" w:rsidRDefault="00721601" w:rsidP="00721601">
            <w:pPr>
              <w:spacing w:line="276" w:lineRule="auto"/>
              <w:jc w:val="both"/>
              <w:rPr>
                <w:rFonts w:ascii="Times New Roman" w:hAnsi="Times New Roman" w:cs="Times New Roman"/>
                <w:bCs/>
                <w:color w:val="000000" w:themeColor="text1"/>
                <w:lang w:val="ro-RO"/>
              </w:rPr>
            </w:pPr>
            <w:r w:rsidRPr="004D6136">
              <w:rPr>
                <w:rFonts w:ascii="Times New Roman" w:hAnsi="Times New Roman" w:cs="Times New Roman"/>
                <w:bCs/>
                <w:color w:val="000000" w:themeColor="text1"/>
                <w:lang w:val="ro-RO"/>
              </w:rPr>
              <w:t xml:space="preserve">Scopul proiectului HCE al BNM „Pentru aprobarea, modificarea și abrogarea unor acte normative ale Băncii Naționale a Moldovei (privind efectul de levier)” este </w:t>
            </w:r>
            <w:r w:rsidRPr="004D6136">
              <w:rPr>
                <w:rFonts w:ascii="Times New Roman" w:hAnsi="Times New Roman" w:cs="Times New Roman"/>
                <w:bCs/>
                <w:color w:val="000000" w:themeColor="text1"/>
                <w:lang w:val="ro-RO"/>
              </w:rPr>
              <w:lastRenderedPageBreak/>
              <w:t>stabilirea cerinței pentru indicatorul efectului de levier prin transpunerea doar a literei (d) din alin.(1)</w:t>
            </w:r>
          </w:p>
        </w:tc>
      </w:tr>
      <w:tr w:rsidR="000A2F4D" w:rsidRPr="004D6136" w14:paraId="1F35B75D" w14:textId="77777777" w:rsidTr="000A2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3F8B500D" w14:textId="77777777" w:rsidR="000A2F4D" w:rsidRPr="004D6136" w:rsidRDefault="000A2F4D" w:rsidP="00FD14BF">
            <w:pPr>
              <w:spacing w:after="0" w:line="276" w:lineRule="auto"/>
              <w:jc w:val="both"/>
              <w:rPr>
                <w:rFonts w:ascii="Times New Roman" w:hAnsi="Times New Roman" w:cs="Times New Roman"/>
                <w:b/>
                <w:color w:val="000000" w:themeColor="text1"/>
                <w:lang w:val="it-IT"/>
              </w:rPr>
            </w:pPr>
            <w:r w:rsidRPr="004D6136">
              <w:rPr>
                <w:rFonts w:ascii="Times New Roman" w:hAnsi="Times New Roman" w:cs="Times New Roman"/>
                <w:b/>
                <w:color w:val="000000" w:themeColor="text1"/>
                <w:lang w:val="it-IT"/>
              </w:rPr>
              <w:lastRenderedPageBreak/>
              <w:t>▼M8</w:t>
            </w:r>
          </w:p>
          <w:p w14:paraId="796D5C66" w14:textId="77777777" w:rsidR="000A2F4D" w:rsidRPr="004D6136" w:rsidRDefault="000A2F4D" w:rsidP="00046244">
            <w:pPr>
              <w:spacing w:after="0" w:line="276" w:lineRule="auto"/>
              <w:jc w:val="both"/>
              <w:rPr>
                <w:rFonts w:ascii="Times New Roman" w:hAnsi="Times New Roman" w:cs="Times New Roman"/>
                <w:b/>
                <w:color w:val="000000" w:themeColor="text1"/>
                <w:lang w:val="ro-MD"/>
              </w:rPr>
            </w:pPr>
          </w:p>
          <w:p w14:paraId="0E2746B8" w14:textId="1BDC9C85" w:rsidR="000A2F4D" w:rsidRPr="004D6136" w:rsidRDefault="000A2F4D" w:rsidP="00046244">
            <w:pPr>
              <w:spacing w:after="0" w:line="276" w:lineRule="auto"/>
              <w:jc w:val="both"/>
              <w:rPr>
                <w:rFonts w:ascii="Times New Roman" w:hAnsi="Times New Roman" w:cs="Times New Roman"/>
                <w:b/>
                <w:color w:val="000000" w:themeColor="text1"/>
                <w:lang w:val="ro-MD"/>
              </w:rPr>
            </w:pPr>
            <w:r w:rsidRPr="004D6136">
              <w:rPr>
                <w:rFonts w:ascii="Times New Roman" w:hAnsi="Times New Roman" w:cs="Times New Roman"/>
                <w:b/>
                <w:color w:val="000000" w:themeColor="text1"/>
                <w:lang w:val="ro-MD"/>
              </w:rPr>
              <w:t>PARTEA A ȘAPTEA</w:t>
            </w:r>
          </w:p>
          <w:p w14:paraId="13D0C661" w14:textId="77777777" w:rsidR="000A2F4D" w:rsidRPr="004D6136" w:rsidRDefault="000A2F4D" w:rsidP="00046244">
            <w:pPr>
              <w:spacing w:after="0" w:line="276" w:lineRule="auto"/>
              <w:jc w:val="both"/>
              <w:rPr>
                <w:rFonts w:ascii="Times New Roman" w:hAnsi="Times New Roman" w:cs="Times New Roman"/>
                <w:b/>
                <w:color w:val="000000" w:themeColor="text1"/>
                <w:lang w:val="ro-MD"/>
              </w:rPr>
            </w:pPr>
            <w:r w:rsidRPr="004D6136">
              <w:rPr>
                <w:rFonts w:ascii="Times New Roman" w:hAnsi="Times New Roman" w:cs="Times New Roman"/>
                <w:b/>
                <w:color w:val="000000" w:themeColor="text1"/>
                <w:lang w:val="ro-MD"/>
              </w:rPr>
              <w:t>EFECTUL DE LEVIER</w:t>
            </w:r>
          </w:p>
          <w:p w14:paraId="4B57404B" w14:textId="77777777" w:rsidR="000A2F4D" w:rsidRPr="004D6136" w:rsidRDefault="000A2F4D" w:rsidP="00046244">
            <w:pPr>
              <w:spacing w:after="0" w:line="276" w:lineRule="auto"/>
              <w:jc w:val="both"/>
              <w:rPr>
                <w:rFonts w:ascii="Times New Roman" w:hAnsi="Times New Roman" w:cs="Times New Roman"/>
                <w:b/>
                <w:color w:val="000000" w:themeColor="text1"/>
                <w:lang w:val="ro-MD"/>
              </w:rPr>
            </w:pPr>
            <w:r w:rsidRPr="004D6136">
              <w:rPr>
                <w:rFonts w:ascii="Times New Roman" w:hAnsi="Times New Roman" w:cs="Times New Roman"/>
                <w:b/>
                <w:color w:val="000000" w:themeColor="text1"/>
                <w:lang w:val="ro-MD"/>
              </w:rPr>
              <w:t>Articolul 429</w:t>
            </w:r>
          </w:p>
          <w:p w14:paraId="0266D5BD" w14:textId="0A4CA442" w:rsidR="000A2F4D" w:rsidRPr="004D6136" w:rsidRDefault="000A2F4D" w:rsidP="00046244">
            <w:pPr>
              <w:spacing w:after="0" w:line="276" w:lineRule="auto"/>
              <w:jc w:val="both"/>
              <w:rPr>
                <w:rFonts w:ascii="Times New Roman" w:hAnsi="Times New Roman" w:cs="Times New Roman"/>
                <w:bCs/>
                <w:color w:val="000000" w:themeColor="text1"/>
                <w:lang w:val="ro-MD"/>
              </w:rPr>
            </w:pPr>
            <w:bookmarkStart w:id="5" w:name="_Hlk188364608"/>
            <w:r w:rsidRPr="004D6136">
              <w:rPr>
                <w:rFonts w:ascii="Times New Roman" w:hAnsi="Times New Roman" w:cs="Times New Roman"/>
                <w:b/>
                <w:color w:val="000000" w:themeColor="text1"/>
                <w:lang w:val="ro-MD"/>
              </w:rPr>
              <w:t>Calcularea indicatorului efectului de levier</w:t>
            </w:r>
            <w:bookmarkEnd w:id="5"/>
          </w:p>
        </w:tc>
        <w:tc>
          <w:tcPr>
            <w:tcW w:w="1557" w:type="pct"/>
          </w:tcPr>
          <w:p w14:paraId="4CB9592D" w14:textId="77777777" w:rsidR="009D5FE4" w:rsidRPr="004D6136" w:rsidRDefault="009D5FE4" w:rsidP="009D5FE4">
            <w:pPr>
              <w:spacing w:after="0" w:line="276" w:lineRule="auto"/>
              <w:jc w:val="both"/>
              <w:rPr>
                <w:rFonts w:ascii="Times New Roman" w:hAnsi="Times New Roman" w:cs="Times New Roman"/>
                <w:b/>
                <w:color w:val="000000" w:themeColor="text1"/>
                <w:lang w:val="ro-MD"/>
              </w:rPr>
            </w:pPr>
            <w:bookmarkStart w:id="6" w:name="_Hlk188368183"/>
            <w:r w:rsidRPr="004D6136">
              <w:rPr>
                <w:rFonts w:ascii="Times New Roman" w:hAnsi="Times New Roman" w:cs="Times New Roman"/>
                <w:b/>
                <w:color w:val="000000" w:themeColor="text1"/>
                <w:lang w:val="ro-MD"/>
              </w:rPr>
              <w:t>Capitolul II</w:t>
            </w:r>
          </w:p>
          <w:p w14:paraId="70EB73B6" w14:textId="77777777" w:rsidR="000A2F4D" w:rsidRPr="004D6136" w:rsidRDefault="009D5FE4" w:rsidP="009D5FE4">
            <w:pPr>
              <w:spacing w:after="0" w:line="276" w:lineRule="auto"/>
              <w:jc w:val="both"/>
              <w:rPr>
                <w:rFonts w:ascii="Times New Roman" w:hAnsi="Times New Roman" w:cs="Times New Roman"/>
                <w:b/>
                <w:color w:val="000000" w:themeColor="text1"/>
                <w:lang w:val="ro-MD"/>
              </w:rPr>
            </w:pPr>
            <w:r w:rsidRPr="004D6136">
              <w:rPr>
                <w:rFonts w:ascii="Times New Roman" w:hAnsi="Times New Roman" w:cs="Times New Roman"/>
                <w:b/>
                <w:color w:val="000000" w:themeColor="text1"/>
                <w:lang w:val="ro-MD"/>
              </w:rPr>
              <w:t>CALCULAREA INDICATORULUI EFECTULUI DE LEVIER</w:t>
            </w:r>
            <w:bookmarkEnd w:id="6"/>
          </w:p>
          <w:p w14:paraId="1F2083B0" w14:textId="77777777" w:rsidR="006A3B3A" w:rsidRPr="004D6136" w:rsidRDefault="006A3B3A" w:rsidP="006A3B3A">
            <w:pPr>
              <w:spacing w:after="0" w:line="276" w:lineRule="auto"/>
              <w:jc w:val="both"/>
              <w:rPr>
                <w:rFonts w:ascii="Times New Roman" w:hAnsi="Times New Roman" w:cs="Times New Roman"/>
                <w:b/>
                <w:bCs/>
                <w:color w:val="000000" w:themeColor="text1"/>
                <w:lang w:val="ro-RO"/>
              </w:rPr>
            </w:pPr>
            <w:r w:rsidRPr="004D6136">
              <w:rPr>
                <w:rFonts w:ascii="Times New Roman" w:hAnsi="Times New Roman" w:cs="Times New Roman"/>
                <w:b/>
                <w:bCs/>
                <w:color w:val="000000" w:themeColor="text1"/>
                <w:lang w:val="ro-RO"/>
              </w:rPr>
              <w:t>Secțiunea 1. Formula de calcul al indicatorului efectului de levier</w:t>
            </w:r>
          </w:p>
          <w:p w14:paraId="3E22559A" w14:textId="7D9EFB1F" w:rsidR="006A3B3A" w:rsidRPr="004D6136" w:rsidRDefault="006A3B3A" w:rsidP="009D5FE4">
            <w:pPr>
              <w:spacing w:after="0" w:line="276" w:lineRule="auto"/>
              <w:jc w:val="both"/>
              <w:rPr>
                <w:rFonts w:ascii="Times New Roman" w:hAnsi="Times New Roman" w:cs="Times New Roman"/>
                <w:bCs/>
                <w:color w:val="000000" w:themeColor="text1"/>
                <w:lang w:val="ro-RO"/>
              </w:rPr>
            </w:pPr>
          </w:p>
        </w:tc>
        <w:tc>
          <w:tcPr>
            <w:tcW w:w="585" w:type="pct"/>
          </w:tcPr>
          <w:p w14:paraId="463AD9A7" w14:textId="77777777" w:rsidR="000A2F4D" w:rsidRPr="004D6136" w:rsidRDefault="000A2F4D" w:rsidP="00287C67">
            <w:pPr>
              <w:spacing w:line="276" w:lineRule="auto"/>
              <w:jc w:val="both"/>
              <w:rPr>
                <w:rFonts w:ascii="Times New Roman" w:hAnsi="Times New Roman" w:cs="Times New Roman"/>
                <w:bCs/>
                <w:color w:val="000000" w:themeColor="text1"/>
                <w:lang w:val="ro-MD"/>
              </w:rPr>
            </w:pPr>
          </w:p>
        </w:tc>
        <w:tc>
          <w:tcPr>
            <w:tcW w:w="1261" w:type="pct"/>
          </w:tcPr>
          <w:p w14:paraId="5ABCAAF1" w14:textId="77777777" w:rsidR="000A2F4D" w:rsidRPr="004D6136" w:rsidRDefault="000A2F4D" w:rsidP="00287C67">
            <w:pPr>
              <w:spacing w:line="276" w:lineRule="auto"/>
              <w:jc w:val="both"/>
              <w:rPr>
                <w:rFonts w:ascii="Times New Roman" w:hAnsi="Times New Roman" w:cs="Times New Roman"/>
                <w:bCs/>
                <w:color w:val="000000" w:themeColor="text1"/>
                <w:lang w:val="ro-MD"/>
              </w:rPr>
            </w:pPr>
          </w:p>
        </w:tc>
      </w:tr>
      <w:tr w:rsidR="00951D3F" w:rsidRPr="004D6136" w14:paraId="5C52101F" w14:textId="77777777" w:rsidTr="00FC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052E44C3" w14:textId="2E44AB28" w:rsidR="00951D3F" w:rsidRPr="004D6136" w:rsidRDefault="00951D3F" w:rsidP="00951D3F">
            <w:pPr>
              <w:spacing w:after="0" w:line="276" w:lineRule="auto"/>
              <w:jc w:val="both"/>
              <w:rPr>
                <w:rFonts w:ascii="Times New Roman" w:hAnsi="Times New Roman" w:cs="Times New Roman"/>
                <w:bCs/>
                <w:color w:val="000000" w:themeColor="text1"/>
                <w:lang w:val="ro-MD"/>
              </w:rPr>
            </w:pPr>
            <w:bookmarkStart w:id="7" w:name="_Hlk188364549"/>
            <w:r w:rsidRPr="004D6136">
              <w:rPr>
                <w:rFonts w:ascii="Times New Roman" w:hAnsi="Times New Roman" w:cs="Times New Roman"/>
                <w:bCs/>
                <w:color w:val="000000" w:themeColor="text1"/>
                <w:lang w:val="ro-MD"/>
              </w:rPr>
              <w:t xml:space="preserve">(1) </w:t>
            </w:r>
            <w:proofErr w:type="spellStart"/>
            <w:r w:rsidRPr="004D6136">
              <w:rPr>
                <w:rFonts w:ascii="Times New Roman" w:hAnsi="Times New Roman" w:cs="Times New Roman"/>
                <w:bCs/>
                <w:color w:val="000000" w:themeColor="text1"/>
                <w:lang w:val="ro-MD"/>
              </w:rPr>
              <w:t>Instituţiile</w:t>
            </w:r>
            <w:proofErr w:type="spellEnd"/>
            <w:r w:rsidRPr="004D6136">
              <w:rPr>
                <w:rFonts w:ascii="Times New Roman" w:hAnsi="Times New Roman" w:cs="Times New Roman"/>
                <w:bCs/>
                <w:color w:val="000000" w:themeColor="text1"/>
                <w:lang w:val="ro-MD"/>
              </w:rPr>
              <w:t xml:space="preserve"> își calculează indicatorul efectului de levier în conformitate cu metodologia prevăzută la alineatele (2), (3) și (4).</w:t>
            </w:r>
          </w:p>
        </w:tc>
        <w:tc>
          <w:tcPr>
            <w:tcW w:w="1557" w:type="pct"/>
            <w:shd w:val="clear" w:color="auto" w:fill="auto"/>
          </w:tcPr>
          <w:p w14:paraId="5B109021" w14:textId="40F179B6" w:rsidR="00951D3F" w:rsidRPr="004D6136" w:rsidRDefault="005B68B4"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6. Băncile</w:t>
            </w:r>
            <w:r w:rsidR="00951D3F" w:rsidRPr="004D6136">
              <w:rPr>
                <w:rFonts w:ascii="Times New Roman" w:hAnsi="Times New Roman" w:cs="Times New Roman"/>
                <w:bCs/>
                <w:color w:val="000000" w:themeColor="text1"/>
                <w:lang w:val="ro-MD"/>
              </w:rPr>
              <w:t xml:space="preserve"> își calculează indicatorul efectului de levier în conformitate cu metodologia prevăzută </w:t>
            </w:r>
            <w:proofErr w:type="spellStart"/>
            <w:r w:rsidR="00951D3F" w:rsidRPr="004D6136">
              <w:rPr>
                <w:rFonts w:ascii="Times New Roman" w:hAnsi="Times New Roman" w:cs="Times New Roman"/>
                <w:bCs/>
                <w:color w:val="000000" w:themeColor="text1"/>
                <w:lang w:val="ro-MD"/>
              </w:rPr>
              <w:t>la</w:t>
            </w:r>
            <w:r w:rsidRPr="004D6136">
              <w:rPr>
                <w:rFonts w:ascii="Times New Roman" w:hAnsi="Times New Roman" w:cs="Times New Roman"/>
                <w:bCs/>
                <w:color w:val="000000" w:themeColor="text1"/>
                <w:lang w:val="ro-MD"/>
              </w:rPr>
              <w:t>punctele</w:t>
            </w:r>
            <w:proofErr w:type="spellEnd"/>
            <w:r w:rsidRPr="004D6136">
              <w:rPr>
                <w:rFonts w:ascii="Times New Roman" w:hAnsi="Times New Roman" w:cs="Times New Roman"/>
                <w:bCs/>
                <w:color w:val="000000" w:themeColor="text1"/>
                <w:lang w:val="ro-MD"/>
              </w:rPr>
              <w:t xml:space="preserve"> 7</w:t>
            </w:r>
            <w:r w:rsidR="00BF376B" w:rsidRPr="004D6136">
              <w:rPr>
                <w:rFonts w:ascii="Times New Roman" w:hAnsi="Times New Roman" w:cs="Times New Roman"/>
                <w:bCs/>
                <w:color w:val="000000" w:themeColor="text1"/>
                <w:lang w:val="ro-MD"/>
              </w:rPr>
              <w:t>-11</w:t>
            </w:r>
            <w:r w:rsidR="00951D3F" w:rsidRPr="004D6136">
              <w:rPr>
                <w:rFonts w:ascii="Times New Roman" w:hAnsi="Times New Roman" w:cs="Times New Roman"/>
                <w:bCs/>
                <w:color w:val="000000" w:themeColor="text1"/>
                <w:lang w:val="ro-MD"/>
              </w:rPr>
              <w:t>.</w:t>
            </w:r>
          </w:p>
        </w:tc>
        <w:tc>
          <w:tcPr>
            <w:tcW w:w="585" w:type="pct"/>
          </w:tcPr>
          <w:p w14:paraId="25763109" w14:textId="3FD5572D" w:rsidR="00951D3F" w:rsidRPr="004D6136" w:rsidRDefault="00C411D1" w:rsidP="00951D3F">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compatibil</w:t>
            </w:r>
          </w:p>
        </w:tc>
        <w:tc>
          <w:tcPr>
            <w:tcW w:w="1261" w:type="pct"/>
          </w:tcPr>
          <w:p w14:paraId="4243E117" w14:textId="77777777" w:rsidR="00951D3F" w:rsidRPr="004D6136" w:rsidRDefault="00951D3F" w:rsidP="00951D3F">
            <w:pPr>
              <w:spacing w:line="276" w:lineRule="auto"/>
              <w:jc w:val="both"/>
              <w:rPr>
                <w:rFonts w:ascii="Times New Roman" w:hAnsi="Times New Roman" w:cs="Times New Roman"/>
                <w:bCs/>
                <w:color w:val="000000" w:themeColor="text1"/>
                <w:lang w:val="ro-MD"/>
              </w:rPr>
            </w:pPr>
          </w:p>
        </w:tc>
      </w:tr>
      <w:tr w:rsidR="00951D3F" w:rsidRPr="004D6136" w14:paraId="4C1C5B49" w14:textId="77777777" w:rsidTr="00FC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3420CDC0" w14:textId="16C7E9B4"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(2) Indicatorul efectului de levier se calculează prin </w:t>
            </w:r>
            <w:proofErr w:type="spellStart"/>
            <w:r w:rsidRPr="004D6136">
              <w:rPr>
                <w:rFonts w:ascii="Times New Roman" w:hAnsi="Times New Roman" w:cs="Times New Roman"/>
                <w:bCs/>
                <w:color w:val="000000" w:themeColor="text1"/>
                <w:lang w:val="ro-MD"/>
              </w:rPr>
              <w:t>împărţirea</w:t>
            </w:r>
            <w:proofErr w:type="spellEnd"/>
            <w:r w:rsidRPr="004D6136">
              <w:rPr>
                <w:rFonts w:ascii="Times New Roman" w:hAnsi="Times New Roman" w:cs="Times New Roman"/>
                <w:bCs/>
                <w:color w:val="000000" w:themeColor="text1"/>
                <w:lang w:val="ro-MD"/>
              </w:rPr>
              <w:t xml:space="preserve"> indicatorului de măsurare a capitalului </w:t>
            </w:r>
            <w:proofErr w:type="spellStart"/>
            <w:r w:rsidRPr="004D6136">
              <w:rPr>
                <w:rFonts w:ascii="Times New Roman" w:hAnsi="Times New Roman" w:cs="Times New Roman"/>
                <w:bCs/>
                <w:color w:val="000000" w:themeColor="text1"/>
                <w:lang w:val="ro-MD"/>
              </w:rPr>
              <w:t>instituţiei</w:t>
            </w:r>
            <w:proofErr w:type="spellEnd"/>
            <w:r w:rsidRPr="004D6136">
              <w:rPr>
                <w:rFonts w:ascii="Times New Roman" w:hAnsi="Times New Roman" w:cs="Times New Roman"/>
                <w:bCs/>
                <w:color w:val="000000" w:themeColor="text1"/>
                <w:lang w:val="ro-MD"/>
              </w:rPr>
              <w:t xml:space="preserve"> la indicatorul de măsurare a expunerii totale a </w:t>
            </w:r>
            <w:proofErr w:type="spellStart"/>
            <w:r w:rsidRPr="004D6136">
              <w:rPr>
                <w:rFonts w:ascii="Times New Roman" w:hAnsi="Times New Roman" w:cs="Times New Roman"/>
                <w:bCs/>
                <w:color w:val="000000" w:themeColor="text1"/>
                <w:lang w:val="ro-MD"/>
              </w:rPr>
              <w:t>instituţiei</w:t>
            </w:r>
            <w:proofErr w:type="spellEnd"/>
            <w:r w:rsidRPr="004D6136">
              <w:rPr>
                <w:rFonts w:ascii="Times New Roman" w:hAnsi="Times New Roman" w:cs="Times New Roman"/>
                <w:bCs/>
                <w:color w:val="000000" w:themeColor="text1"/>
                <w:lang w:val="ro-MD"/>
              </w:rPr>
              <w:t xml:space="preserve"> și se exprimă ca procent.</w:t>
            </w:r>
          </w:p>
          <w:p w14:paraId="7B88B31B" w14:textId="3075FCA7" w:rsidR="00951D3F" w:rsidRPr="004D6136" w:rsidRDefault="00951D3F" w:rsidP="00951D3F">
            <w:pPr>
              <w:spacing w:after="0" w:line="276" w:lineRule="auto"/>
              <w:jc w:val="both"/>
              <w:rPr>
                <w:rFonts w:ascii="Times New Roman" w:hAnsi="Times New Roman" w:cs="Times New Roman"/>
                <w:bCs/>
                <w:color w:val="000000" w:themeColor="text1"/>
                <w:lang w:val="ro-MD"/>
              </w:rPr>
            </w:pPr>
            <w:proofErr w:type="spellStart"/>
            <w:r w:rsidRPr="004D6136">
              <w:rPr>
                <w:rFonts w:ascii="Times New Roman" w:hAnsi="Times New Roman" w:cs="Times New Roman"/>
                <w:bCs/>
                <w:color w:val="000000" w:themeColor="text1"/>
                <w:lang w:val="ro-MD"/>
              </w:rPr>
              <w:t>Instituţiile</w:t>
            </w:r>
            <w:proofErr w:type="spellEnd"/>
            <w:r w:rsidRPr="004D6136">
              <w:rPr>
                <w:rFonts w:ascii="Times New Roman" w:hAnsi="Times New Roman" w:cs="Times New Roman"/>
                <w:bCs/>
                <w:color w:val="000000" w:themeColor="text1"/>
                <w:lang w:val="ro-MD"/>
              </w:rPr>
              <w:t xml:space="preserve"> calculează indicatorul efectului de levier la data de </w:t>
            </w:r>
            <w:proofErr w:type="spellStart"/>
            <w:r w:rsidRPr="004D6136">
              <w:rPr>
                <w:rFonts w:ascii="Times New Roman" w:hAnsi="Times New Roman" w:cs="Times New Roman"/>
                <w:bCs/>
                <w:color w:val="000000" w:themeColor="text1"/>
                <w:lang w:val="ro-MD"/>
              </w:rPr>
              <w:t>referinţă</w:t>
            </w:r>
            <w:proofErr w:type="spellEnd"/>
            <w:r w:rsidRPr="004D6136">
              <w:rPr>
                <w:rFonts w:ascii="Times New Roman" w:hAnsi="Times New Roman" w:cs="Times New Roman"/>
                <w:bCs/>
                <w:color w:val="000000" w:themeColor="text1"/>
                <w:lang w:val="ro-MD"/>
              </w:rPr>
              <w:t xml:space="preserve"> a raportării.</w:t>
            </w:r>
          </w:p>
        </w:tc>
        <w:tc>
          <w:tcPr>
            <w:tcW w:w="1557" w:type="pct"/>
            <w:shd w:val="clear" w:color="auto" w:fill="auto"/>
          </w:tcPr>
          <w:p w14:paraId="35597D50" w14:textId="4FAD1A0E" w:rsidR="00951D3F" w:rsidRPr="004D6136" w:rsidRDefault="00BF376B"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7.</w:t>
            </w:r>
            <w:r w:rsidR="00951D3F" w:rsidRPr="004D6136">
              <w:rPr>
                <w:rFonts w:ascii="Times New Roman" w:hAnsi="Times New Roman" w:cs="Times New Roman"/>
                <w:bCs/>
                <w:color w:val="000000" w:themeColor="text1"/>
                <w:lang w:val="ro-MD"/>
              </w:rPr>
              <w:t xml:space="preserve"> Indicatorul efectului de levier se calculează prin </w:t>
            </w:r>
            <w:proofErr w:type="spellStart"/>
            <w:r w:rsidR="00951D3F" w:rsidRPr="004D6136">
              <w:rPr>
                <w:rFonts w:ascii="Times New Roman" w:hAnsi="Times New Roman" w:cs="Times New Roman"/>
                <w:bCs/>
                <w:color w:val="000000" w:themeColor="text1"/>
                <w:lang w:val="ro-MD"/>
              </w:rPr>
              <w:t>împărţirea</w:t>
            </w:r>
            <w:proofErr w:type="spellEnd"/>
            <w:r w:rsidR="00951D3F" w:rsidRPr="004D6136">
              <w:rPr>
                <w:rFonts w:ascii="Times New Roman" w:hAnsi="Times New Roman" w:cs="Times New Roman"/>
                <w:bCs/>
                <w:color w:val="000000" w:themeColor="text1"/>
                <w:lang w:val="ro-MD"/>
              </w:rPr>
              <w:t xml:space="preserve"> indicatorului de măsurare a capitalului </w:t>
            </w:r>
            <w:r w:rsidRPr="004D6136">
              <w:rPr>
                <w:rFonts w:ascii="Times New Roman" w:hAnsi="Times New Roman" w:cs="Times New Roman"/>
                <w:bCs/>
                <w:color w:val="000000" w:themeColor="text1"/>
                <w:lang w:val="ro-MD"/>
              </w:rPr>
              <w:t xml:space="preserve">băncii </w:t>
            </w:r>
            <w:r w:rsidR="00951D3F" w:rsidRPr="004D6136">
              <w:rPr>
                <w:rFonts w:ascii="Times New Roman" w:hAnsi="Times New Roman" w:cs="Times New Roman"/>
                <w:bCs/>
                <w:color w:val="000000" w:themeColor="text1"/>
                <w:lang w:val="ro-MD"/>
              </w:rPr>
              <w:t xml:space="preserve">la indicatorul de măsurare a expunerii totale a </w:t>
            </w:r>
            <w:r w:rsidRPr="004D6136">
              <w:rPr>
                <w:rFonts w:ascii="Times New Roman" w:hAnsi="Times New Roman" w:cs="Times New Roman"/>
                <w:bCs/>
                <w:color w:val="000000" w:themeColor="text1"/>
                <w:lang w:val="ro-MD"/>
              </w:rPr>
              <w:t xml:space="preserve">băncii </w:t>
            </w:r>
            <w:r w:rsidR="00951D3F" w:rsidRPr="004D6136">
              <w:rPr>
                <w:rFonts w:ascii="Times New Roman" w:hAnsi="Times New Roman" w:cs="Times New Roman"/>
                <w:bCs/>
                <w:color w:val="000000" w:themeColor="text1"/>
                <w:lang w:val="ro-MD"/>
              </w:rPr>
              <w:t>și se exprimă ca procent.</w:t>
            </w:r>
          </w:p>
          <w:p w14:paraId="464C0BE5" w14:textId="3ECD6A78" w:rsidR="00951D3F" w:rsidRPr="004D6136" w:rsidRDefault="00BF376B"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Băncile </w:t>
            </w:r>
            <w:r w:rsidR="00951D3F" w:rsidRPr="004D6136">
              <w:rPr>
                <w:rFonts w:ascii="Times New Roman" w:hAnsi="Times New Roman" w:cs="Times New Roman"/>
                <w:bCs/>
                <w:color w:val="000000" w:themeColor="text1"/>
                <w:lang w:val="ro-MD"/>
              </w:rPr>
              <w:t xml:space="preserve">calculează indicatorul efectului de levier la data de </w:t>
            </w:r>
            <w:proofErr w:type="spellStart"/>
            <w:r w:rsidR="00951D3F" w:rsidRPr="004D6136">
              <w:rPr>
                <w:rFonts w:ascii="Times New Roman" w:hAnsi="Times New Roman" w:cs="Times New Roman"/>
                <w:bCs/>
                <w:color w:val="000000" w:themeColor="text1"/>
                <w:lang w:val="ro-MD"/>
              </w:rPr>
              <w:t>referinţă</w:t>
            </w:r>
            <w:proofErr w:type="spellEnd"/>
            <w:r w:rsidR="00951D3F" w:rsidRPr="004D6136">
              <w:rPr>
                <w:rFonts w:ascii="Times New Roman" w:hAnsi="Times New Roman" w:cs="Times New Roman"/>
                <w:bCs/>
                <w:color w:val="000000" w:themeColor="text1"/>
                <w:lang w:val="ro-MD"/>
              </w:rPr>
              <w:t xml:space="preserve"> a raportării.</w:t>
            </w:r>
          </w:p>
        </w:tc>
        <w:tc>
          <w:tcPr>
            <w:tcW w:w="585" w:type="pct"/>
          </w:tcPr>
          <w:p w14:paraId="6E712F1F" w14:textId="33A86427" w:rsidR="00951D3F" w:rsidRPr="004D6136" w:rsidRDefault="00C411D1" w:rsidP="00951D3F">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compatibil</w:t>
            </w:r>
          </w:p>
        </w:tc>
        <w:tc>
          <w:tcPr>
            <w:tcW w:w="1261" w:type="pct"/>
          </w:tcPr>
          <w:p w14:paraId="0729BDCA" w14:textId="77777777" w:rsidR="00951D3F" w:rsidRPr="004D6136" w:rsidRDefault="00951D3F" w:rsidP="00951D3F">
            <w:pPr>
              <w:spacing w:line="276" w:lineRule="auto"/>
              <w:jc w:val="both"/>
              <w:rPr>
                <w:rFonts w:ascii="Times New Roman" w:hAnsi="Times New Roman" w:cs="Times New Roman"/>
                <w:bCs/>
                <w:color w:val="000000" w:themeColor="text1"/>
                <w:lang w:val="ro-MD"/>
              </w:rPr>
            </w:pPr>
          </w:p>
        </w:tc>
      </w:tr>
      <w:tr w:rsidR="00951D3F" w:rsidRPr="004D6136" w14:paraId="306482D3" w14:textId="77777777" w:rsidTr="00FC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38E74B68" w14:textId="70E5B7A2"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(3) În sensul alineatului (2), indicatorul de măsurare a capitalului este reprezentat de fondurile proprii de nivel 1.</w:t>
            </w:r>
          </w:p>
        </w:tc>
        <w:tc>
          <w:tcPr>
            <w:tcW w:w="1557" w:type="pct"/>
            <w:shd w:val="clear" w:color="auto" w:fill="auto"/>
          </w:tcPr>
          <w:p w14:paraId="1C44B9A3" w14:textId="2801C5CF" w:rsidR="00951D3F" w:rsidRPr="004D6136" w:rsidRDefault="00BF376B"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8.</w:t>
            </w:r>
            <w:r w:rsidR="00951D3F" w:rsidRPr="004D6136">
              <w:rPr>
                <w:rFonts w:ascii="Times New Roman" w:hAnsi="Times New Roman" w:cs="Times New Roman"/>
                <w:bCs/>
                <w:color w:val="000000" w:themeColor="text1"/>
                <w:lang w:val="ro-MD"/>
              </w:rPr>
              <w:t xml:space="preserve"> În sensul</w:t>
            </w:r>
            <w:r w:rsidR="00632C0E" w:rsidRPr="004D6136">
              <w:rPr>
                <w:rFonts w:ascii="Times New Roman" w:hAnsi="Times New Roman" w:cs="Times New Roman"/>
                <w:bCs/>
                <w:color w:val="000000" w:themeColor="text1"/>
                <w:lang w:val="ro-MD"/>
              </w:rPr>
              <w:t xml:space="preserve"> </w:t>
            </w:r>
            <w:r w:rsidRPr="004D6136">
              <w:rPr>
                <w:rFonts w:ascii="Times New Roman" w:hAnsi="Times New Roman" w:cs="Times New Roman"/>
                <w:bCs/>
                <w:color w:val="000000" w:themeColor="text1"/>
                <w:lang w:val="ro-MD"/>
              </w:rPr>
              <w:t>pct.7</w:t>
            </w:r>
            <w:r w:rsidR="00951D3F" w:rsidRPr="004D6136">
              <w:rPr>
                <w:rFonts w:ascii="Times New Roman" w:hAnsi="Times New Roman" w:cs="Times New Roman"/>
                <w:bCs/>
                <w:color w:val="000000" w:themeColor="text1"/>
                <w:lang w:val="ro-MD"/>
              </w:rPr>
              <w:t>, indicatorul de măsurare a capitalului este reprezentat de fondurile proprii de nivel 1.</w:t>
            </w:r>
          </w:p>
        </w:tc>
        <w:tc>
          <w:tcPr>
            <w:tcW w:w="585" w:type="pct"/>
          </w:tcPr>
          <w:p w14:paraId="1392686D" w14:textId="09D9DA89" w:rsidR="00951D3F" w:rsidRPr="004D6136" w:rsidRDefault="00C411D1" w:rsidP="00951D3F">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compatibil</w:t>
            </w:r>
          </w:p>
        </w:tc>
        <w:tc>
          <w:tcPr>
            <w:tcW w:w="1261" w:type="pct"/>
          </w:tcPr>
          <w:p w14:paraId="72BCD8A3" w14:textId="77777777" w:rsidR="00951D3F" w:rsidRPr="004D6136" w:rsidRDefault="00951D3F" w:rsidP="00951D3F">
            <w:pPr>
              <w:spacing w:line="276" w:lineRule="auto"/>
              <w:jc w:val="both"/>
              <w:rPr>
                <w:rFonts w:ascii="Times New Roman" w:hAnsi="Times New Roman" w:cs="Times New Roman"/>
                <w:bCs/>
                <w:color w:val="000000" w:themeColor="text1"/>
                <w:lang w:val="ro-MD"/>
              </w:rPr>
            </w:pPr>
          </w:p>
        </w:tc>
      </w:tr>
      <w:tr w:rsidR="00951D3F" w:rsidRPr="004D6136" w14:paraId="661AFD3E" w14:textId="77777777" w:rsidTr="00FC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77D8A4CF" w14:textId="0CD53264"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(4) În sensul alineatului (2), indicatorul de măsurare a expunerii totale este suma valorilor expunerilor următoarelor elemente:</w:t>
            </w:r>
          </w:p>
          <w:p w14:paraId="0A124C23" w14:textId="1FA751A9"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(a) activele, exceptând contractele derivate enumerate în anexa II, instrumentele financiare derivate de credit și </w:t>
            </w:r>
            <w:proofErr w:type="spellStart"/>
            <w:r w:rsidRPr="004D6136">
              <w:rPr>
                <w:rFonts w:ascii="Times New Roman" w:hAnsi="Times New Roman" w:cs="Times New Roman"/>
                <w:bCs/>
                <w:color w:val="000000" w:themeColor="text1"/>
                <w:lang w:val="ro-MD"/>
              </w:rPr>
              <w:t>poziţiile</w:t>
            </w:r>
            <w:proofErr w:type="spellEnd"/>
            <w:r w:rsidRPr="004D6136">
              <w:rPr>
                <w:rFonts w:ascii="Times New Roman" w:hAnsi="Times New Roman" w:cs="Times New Roman"/>
                <w:bCs/>
                <w:color w:val="000000" w:themeColor="text1"/>
                <w:lang w:val="ro-MD"/>
              </w:rPr>
              <w:t xml:space="preserve"> </w:t>
            </w:r>
            <w:proofErr w:type="spellStart"/>
            <w:r w:rsidRPr="004D6136">
              <w:rPr>
                <w:rFonts w:ascii="Times New Roman" w:hAnsi="Times New Roman" w:cs="Times New Roman"/>
                <w:bCs/>
                <w:color w:val="000000" w:themeColor="text1"/>
                <w:lang w:val="ro-MD"/>
              </w:rPr>
              <w:t>menţionate</w:t>
            </w:r>
            <w:proofErr w:type="spellEnd"/>
            <w:r w:rsidRPr="004D6136">
              <w:rPr>
                <w:rFonts w:ascii="Times New Roman" w:hAnsi="Times New Roman" w:cs="Times New Roman"/>
                <w:bCs/>
                <w:color w:val="000000" w:themeColor="text1"/>
                <w:lang w:val="ro-MD"/>
              </w:rPr>
              <w:t xml:space="preserve"> la articolul 429e, calculate în conformitate cu articolul 429b alineatul (1);</w:t>
            </w:r>
          </w:p>
          <w:p w14:paraId="6206F285" w14:textId="3B230073"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(b) contractele derivate enumerate în anexa II și instrumentele financiare derivate de credit, inclusiv contractele și instrumentele financiare derivate de credit care sunt </w:t>
            </w:r>
            <w:proofErr w:type="spellStart"/>
            <w:r w:rsidRPr="004D6136">
              <w:rPr>
                <w:rFonts w:ascii="Times New Roman" w:hAnsi="Times New Roman" w:cs="Times New Roman"/>
                <w:bCs/>
                <w:color w:val="000000" w:themeColor="text1"/>
                <w:lang w:val="ro-MD"/>
              </w:rPr>
              <w:t>extrabilanţiere</w:t>
            </w:r>
            <w:proofErr w:type="spellEnd"/>
            <w:r w:rsidRPr="004D6136">
              <w:rPr>
                <w:rFonts w:ascii="Times New Roman" w:hAnsi="Times New Roman" w:cs="Times New Roman"/>
                <w:bCs/>
                <w:color w:val="000000" w:themeColor="text1"/>
                <w:lang w:val="ro-MD"/>
              </w:rPr>
              <w:t>, calculate în conformitate cu articolele 429c și 429d;</w:t>
            </w:r>
          </w:p>
          <w:p w14:paraId="043C4C61" w14:textId="415B6EC4"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(c) majorările pentru riscul de credit al </w:t>
            </w:r>
            <w:proofErr w:type="spellStart"/>
            <w:r w:rsidRPr="004D6136">
              <w:rPr>
                <w:rFonts w:ascii="Times New Roman" w:hAnsi="Times New Roman" w:cs="Times New Roman"/>
                <w:bCs/>
                <w:color w:val="000000" w:themeColor="text1"/>
                <w:lang w:val="ro-MD"/>
              </w:rPr>
              <w:t>contrapărţii</w:t>
            </w:r>
            <w:proofErr w:type="spellEnd"/>
            <w:r w:rsidRPr="004D6136">
              <w:rPr>
                <w:rFonts w:ascii="Times New Roman" w:hAnsi="Times New Roman" w:cs="Times New Roman"/>
                <w:bCs/>
                <w:color w:val="000000" w:themeColor="text1"/>
                <w:lang w:val="ro-MD"/>
              </w:rPr>
              <w:t xml:space="preserve"> aferent </w:t>
            </w:r>
            <w:proofErr w:type="spellStart"/>
            <w:r w:rsidRPr="004D6136">
              <w:rPr>
                <w:rFonts w:ascii="Times New Roman" w:hAnsi="Times New Roman" w:cs="Times New Roman"/>
                <w:bCs/>
                <w:color w:val="000000" w:themeColor="text1"/>
                <w:lang w:val="ro-MD"/>
              </w:rPr>
              <w:t>operaţiunilor</w:t>
            </w:r>
            <w:proofErr w:type="spellEnd"/>
            <w:r w:rsidRPr="004D6136">
              <w:rPr>
                <w:rFonts w:ascii="Times New Roman" w:hAnsi="Times New Roman" w:cs="Times New Roman"/>
                <w:bCs/>
                <w:color w:val="000000" w:themeColor="text1"/>
                <w:lang w:val="ro-MD"/>
              </w:rPr>
              <w:t xml:space="preserve"> de </w:t>
            </w:r>
            <w:proofErr w:type="spellStart"/>
            <w:r w:rsidRPr="004D6136">
              <w:rPr>
                <w:rFonts w:ascii="Times New Roman" w:hAnsi="Times New Roman" w:cs="Times New Roman"/>
                <w:bCs/>
                <w:color w:val="000000" w:themeColor="text1"/>
                <w:lang w:val="ro-MD"/>
              </w:rPr>
              <w:t>finanţare</w:t>
            </w:r>
            <w:proofErr w:type="spellEnd"/>
            <w:r w:rsidRPr="004D6136">
              <w:rPr>
                <w:rFonts w:ascii="Times New Roman" w:hAnsi="Times New Roman" w:cs="Times New Roman"/>
                <w:bCs/>
                <w:color w:val="000000" w:themeColor="text1"/>
                <w:lang w:val="ro-MD"/>
              </w:rPr>
              <w:t xml:space="preserve"> prin titluri de valoare, inclusiv cele </w:t>
            </w:r>
            <w:proofErr w:type="spellStart"/>
            <w:r w:rsidRPr="004D6136">
              <w:rPr>
                <w:rFonts w:ascii="Times New Roman" w:hAnsi="Times New Roman" w:cs="Times New Roman"/>
                <w:bCs/>
                <w:color w:val="000000" w:themeColor="text1"/>
                <w:lang w:val="ro-MD"/>
              </w:rPr>
              <w:t>extrabilanţiere</w:t>
            </w:r>
            <w:proofErr w:type="spellEnd"/>
            <w:r w:rsidRPr="004D6136">
              <w:rPr>
                <w:rFonts w:ascii="Times New Roman" w:hAnsi="Times New Roman" w:cs="Times New Roman"/>
                <w:bCs/>
                <w:color w:val="000000" w:themeColor="text1"/>
                <w:lang w:val="ro-MD"/>
              </w:rPr>
              <w:t>, calculate în conformitate cu articolul 429e;</w:t>
            </w:r>
          </w:p>
          <w:p w14:paraId="6608CADF" w14:textId="5B83986F"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(d) elementele </w:t>
            </w:r>
            <w:proofErr w:type="spellStart"/>
            <w:r w:rsidRPr="004D6136">
              <w:rPr>
                <w:rFonts w:ascii="Times New Roman" w:hAnsi="Times New Roman" w:cs="Times New Roman"/>
                <w:bCs/>
                <w:color w:val="000000" w:themeColor="text1"/>
                <w:lang w:val="ro-MD"/>
              </w:rPr>
              <w:t>extrabilanţiere</w:t>
            </w:r>
            <w:proofErr w:type="spellEnd"/>
            <w:r w:rsidRPr="004D6136">
              <w:rPr>
                <w:rFonts w:ascii="Times New Roman" w:hAnsi="Times New Roman" w:cs="Times New Roman"/>
                <w:bCs/>
                <w:color w:val="000000" w:themeColor="text1"/>
                <w:lang w:val="ro-MD"/>
              </w:rPr>
              <w:t xml:space="preserve">, exceptând contractele derivate enumerate în anexa II, instrumentele financiare derivate de credit, </w:t>
            </w:r>
            <w:proofErr w:type="spellStart"/>
            <w:r w:rsidRPr="004D6136">
              <w:rPr>
                <w:rFonts w:ascii="Times New Roman" w:hAnsi="Times New Roman" w:cs="Times New Roman"/>
                <w:bCs/>
                <w:color w:val="000000" w:themeColor="text1"/>
                <w:lang w:val="ro-MD"/>
              </w:rPr>
              <w:t>operaţiunile</w:t>
            </w:r>
            <w:proofErr w:type="spellEnd"/>
            <w:r w:rsidRPr="004D6136">
              <w:rPr>
                <w:rFonts w:ascii="Times New Roman" w:hAnsi="Times New Roman" w:cs="Times New Roman"/>
                <w:bCs/>
                <w:color w:val="000000" w:themeColor="text1"/>
                <w:lang w:val="ro-MD"/>
              </w:rPr>
              <w:t xml:space="preserve"> de </w:t>
            </w:r>
            <w:proofErr w:type="spellStart"/>
            <w:r w:rsidRPr="004D6136">
              <w:rPr>
                <w:rFonts w:ascii="Times New Roman" w:hAnsi="Times New Roman" w:cs="Times New Roman"/>
                <w:bCs/>
                <w:color w:val="000000" w:themeColor="text1"/>
                <w:lang w:val="ro-MD"/>
              </w:rPr>
              <w:t>finanţare</w:t>
            </w:r>
            <w:proofErr w:type="spellEnd"/>
            <w:r w:rsidRPr="004D6136">
              <w:rPr>
                <w:rFonts w:ascii="Times New Roman" w:hAnsi="Times New Roman" w:cs="Times New Roman"/>
                <w:bCs/>
                <w:color w:val="000000" w:themeColor="text1"/>
                <w:lang w:val="ro-MD"/>
              </w:rPr>
              <w:t xml:space="preserve"> prin titluri de valoare și </w:t>
            </w:r>
            <w:proofErr w:type="spellStart"/>
            <w:r w:rsidRPr="004D6136">
              <w:rPr>
                <w:rFonts w:ascii="Times New Roman" w:hAnsi="Times New Roman" w:cs="Times New Roman"/>
                <w:bCs/>
                <w:color w:val="000000" w:themeColor="text1"/>
                <w:lang w:val="ro-MD"/>
              </w:rPr>
              <w:t>poziţiile</w:t>
            </w:r>
            <w:proofErr w:type="spellEnd"/>
            <w:r w:rsidRPr="004D6136">
              <w:rPr>
                <w:rFonts w:ascii="Times New Roman" w:hAnsi="Times New Roman" w:cs="Times New Roman"/>
                <w:bCs/>
                <w:color w:val="000000" w:themeColor="text1"/>
                <w:lang w:val="ro-MD"/>
              </w:rPr>
              <w:t xml:space="preserve"> </w:t>
            </w:r>
            <w:proofErr w:type="spellStart"/>
            <w:r w:rsidRPr="004D6136">
              <w:rPr>
                <w:rFonts w:ascii="Times New Roman" w:hAnsi="Times New Roman" w:cs="Times New Roman"/>
                <w:bCs/>
                <w:color w:val="000000" w:themeColor="text1"/>
                <w:lang w:val="ro-MD"/>
              </w:rPr>
              <w:t>menţionate</w:t>
            </w:r>
            <w:proofErr w:type="spellEnd"/>
            <w:r w:rsidRPr="004D6136">
              <w:rPr>
                <w:rFonts w:ascii="Times New Roman" w:hAnsi="Times New Roman" w:cs="Times New Roman"/>
                <w:bCs/>
                <w:color w:val="000000" w:themeColor="text1"/>
                <w:lang w:val="ro-MD"/>
              </w:rPr>
              <w:t xml:space="preserve"> la articolele 429d și 429g, calculate în conformitate cu articolul 429f;</w:t>
            </w:r>
          </w:p>
          <w:p w14:paraId="2DE273E8" w14:textId="42A3D3ED"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(e) </w:t>
            </w:r>
            <w:proofErr w:type="spellStart"/>
            <w:r w:rsidRPr="004D6136">
              <w:rPr>
                <w:rFonts w:ascii="Times New Roman" w:hAnsi="Times New Roman" w:cs="Times New Roman"/>
                <w:bCs/>
                <w:color w:val="000000" w:themeColor="text1"/>
                <w:lang w:val="ro-MD"/>
              </w:rPr>
              <w:t>achiziţiile</w:t>
            </w:r>
            <w:proofErr w:type="spellEnd"/>
            <w:r w:rsidRPr="004D6136">
              <w:rPr>
                <w:rFonts w:ascii="Times New Roman" w:hAnsi="Times New Roman" w:cs="Times New Roman"/>
                <w:bCs/>
                <w:color w:val="000000" w:themeColor="text1"/>
                <w:lang w:val="ro-MD"/>
              </w:rPr>
              <w:t xml:space="preserve"> sau vânzările standard care urmează a fi decontate, calculate în conformitate cu articolul 429g.</w:t>
            </w:r>
          </w:p>
          <w:p w14:paraId="0F1FBECA" w14:textId="77777777" w:rsidR="00951D3F" w:rsidRPr="004D6136" w:rsidRDefault="00951D3F" w:rsidP="00951D3F">
            <w:pPr>
              <w:spacing w:after="0" w:line="276" w:lineRule="auto"/>
              <w:jc w:val="both"/>
              <w:rPr>
                <w:rFonts w:ascii="Times New Roman" w:hAnsi="Times New Roman" w:cs="Times New Roman"/>
                <w:bCs/>
                <w:color w:val="000000" w:themeColor="text1"/>
                <w:lang w:val="ro-MD"/>
              </w:rPr>
            </w:pPr>
            <w:proofErr w:type="spellStart"/>
            <w:r w:rsidRPr="004D6136">
              <w:rPr>
                <w:rFonts w:ascii="Times New Roman" w:hAnsi="Times New Roman" w:cs="Times New Roman"/>
                <w:bCs/>
                <w:color w:val="000000" w:themeColor="text1"/>
                <w:lang w:val="ro-MD"/>
              </w:rPr>
              <w:lastRenderedPageBreak/>
              <w:t>Instituţiile</w:t>
            </w:r>
            <w:proofErr w:type="spellEnd"/>
            <w:r w:rsidRPr="004D6136">
              <w:rPr>
                <w:rFonts w:ascii="Times New Roman" w:hAnsi="Times New Roman" w:cs="Times New Roman"/>
                <w:bCs/>
                <w:color w:val="000000" w:themeColor="text1"/>
                <w:lang w:val="ro-MD"/>
              </w:rPr>
              <w:t xml:space="preserve"> tratează </w:t>
            </w:r>
            <w:proofErr w:type="spellStart"/>
            <w:r w:rsidRPr="004D6136">
              <w:rPr>
                <w:rFonts w:ascii="Times New Roman" w:hAnsi="Times New Roman" w:cs="Times New Roman"/>
                <w:bCs/>
                <w:color w:val="000000" w:themeColor="text1"/>
                <w:lang w:val="ro-MD"/>
              </w:rPr>
              <w:t>tranzacţiile</w:t>
            </w:r>
            <w:proofErr w:type="spellEnd"/>
            <w:r w:rsidRPr="004D6136">
              <w:rPr>
                <w:rFonts w:ascii="Times New Roman" w:hAnsi="Times New Roman" w:cs="Times New Roman"/>
                <w:bCs/>
                <w:color w:val="000000" w:themeColor="text1"/>
                <w:lang w:val="ro-MD"/>
              </w:rPr>
              <w:t xml:space="preserve"> cu termen lung de decontare în conformitate cu primul paragraf literele (a)-(d), după caz.</w:t>
            </w:r>
          </w:p>
          <w:p w14:paraId="1B176933" w14:textId="0ADDC416" w:rsidR="00951D3F" w:rsidRPr="004D6136" w:rsidRDefault="00951D3F" w:rsidP="00951D3F">
            <w:pPr>
              <w:spacing w:after="0" w:line="276" w:lineRule="auto"/>
              <w:jc w:val="both"/>
              <w:rPr>
                <w:rFonts w:ascii="Times New Roman" w:hAnsi="Times New Roman" w:cs="Times New Roman"/>
                <w:bCs/>
                <w:color w:val="000000" w:themeColor="text1"/>
                <w:lang w:val="ro-MD"/>
              </w:rPr>
            </w:pPr>
            <w:proofErr w:type="spellStart"/>
            <w:r w:rsidRPr="004D6136">
              <w:rPr>
                <w:rFonts w:ascii="Times New Roman" w:hAnsi="Times New Roman" w:cs="Times New Roman"/>
                <w:bCs/>
                <w:color w:val="000000" w:themeColor="text1"/>
                <w:lang w:val="ro-MD"/>
              </w:rPr>
              <w:t>Instituţiile</w:t>
            </w:r>
            <w:proofErr w:type="spellEnd"/>
            <w:r w:rsidRPr="004D6136">
              <w:rPr>
                <w:rFonts w:ascii="Times New Roman" w:hAnsi="Times New Roman" w:cs="Times New Roman"/>
                <w:bCs/>
                <w:color w:val="000000" w:themeColor="text1"/>
                <w:lang w:val="ro-MD"/>
              </w:rPr>
              <w:t xml:space="preserve"> pot reduce valorile expunerilor </w:t>
            </w:r>
            <w:proofErr w:type="spellStart"/>
            <w:r w:rsidRPr="004D6136">
              <w:rPr>
                <w:rFonts w:ascii="Times New Roman" w:hAnsi="Times New Roman" w:cs="Times New Roman"/>
                <w:bCs/>
                <w:color w:val="000000" w:themeColor="text1"/>
                <w:lang w:val="ro-MD"/>
              </w:rPr>
              <w:t>menţionate</w:t>
            </w:r>
            <w:proofErr w:type="spellEnd"/>
            <w:r w:rsidRPr="004D6136">
              <w:rPr>
                <w:rFonts w:ascii="Times New Roman" w:hAnsi="Times New Roman" w:cs="Times New Roman"/>
                <w:bCs/>
                <w:color w:val="000000" w:themeColor="text1"/>
                <w:lang w:val="ro-MD"/>
              </w:rPr>
              <w:t xml:space="preserve"> la primul paragraf literele (a) și (d) cu valoarea corespunzătoare a ajustărilor generale pentru riscul de credit aferente elementelor </w:t>
            </w:r>
            <w:proofErr w:type="spellStart"/>
            <w:r w:rsidRPr="004D6136">
              <w:rPr>
                <w:rFonts w:ascii="Times New Roman" w:hAnsi="Times New Roman" w:cs="Times New Roman"/>
                <w:bCs/>
                <w:color w:val="000000" w:themeColor="text1"/>
                <w:lang w:val="ro-MD"/>
              </w:rPr>
              <w:t>bilanţiere</w:t>
            </w:r>
            <w:proofErr w:type="spellEnd"/>
            <w:r w:rsidRPr="004D6136">
              <w:rPr>
                <w:rFonts w:ascii="Times New Roman" w:hAnsi="Times New Roman" w:cs="Times New Roman"/>
                <w:bCs/>
                <w:color w:val="000000" w:themeColor="text1"/>
                <w:lang w:val="ro-MD"/>
              </w:rPr>
              <w:t xml:space="preserve"> și, respectiv, </w:t>
            </w:r>
            <w:proofErr w:type="spellStart"/>
            <w:r w:rsidRPr="004D6136">
              <w:rPr>
                <w:rFonts w:ascii="Times New Roman" w:hAnsi="Times New Roman" w:cs="Times New Roman"/>
                <w:bCs/>
                <w:color w:val="000000" w:themeColor="text1"/>
                <w:lang w:val="ro-MD"/>
              </w:rPr>
              <w:t>extrabilanţiere</w:t>
            </w:r>
            <w:proofErr w:type="spellEnd"/>
            <w:r w:rsidRPr="004D6136">
              <w:rPr>
                <w:rFonts w:ascii="Times New Roman" w:hAnsi="Times New Roman" w:cs="Times New Roman"/>
                <w:bCs/>
                <w:color w:val="000000" w:themeColor="text1"/>
                <w:lang w:val="ro-MD"/>
              </w:rPr>
              <w:t>, sub rezerva unui prag egal cu 0 în cazul în care ajustările pentru riscul de credit au redus fondurile proprii de nivel 1.</w:t>
            </w:r>
          </w:p>
        </w:tc>
        <w:tc>
          <w:tcPr>
            <w:tcW w:w="1557" w:type="pct"/>
            <w:shd w:val="clear" w:color="auto" w:fill="auto"/>
          </w:tcPr>
          <w:p w14:paraId="1664C8D8" w14:textId="77777777" w:rsidR="006A3B3A" w:rsidRPr="004D6136" w:rsidRDefault="006A3B3A" w:rsidP="00951D3F">
            <w:pPr>
              <w:spacing w:after="0" w:line="276" w:lineRule="auto"/>
              <w:jc w:val="both"/>
              <w:rPr>
                <w:rFonts w:ascii="Times New Roman" w:hAnsi="Times New Roman" w:cs="Times New Roman"/>
                <w:b/>
                <w:bCs/>
                <w:color w:val="000000" w:themeColor="text1"/>
                <w:lang w:val="ro-RO"/>
              </w:rPr>
            </w:pPr>
            <w:r w:rsidRPr="004D6136">
              <w:rPr>
                <w:rFonts w:ascii="Times New Roman" w:hAnsi="Times New Roman" w:cs="Times New Roman"/>
                <w:b/>
                <w:bCs/>
                <w:color w:val="000000" w:themeColor="text1"/>
                <w:lang w:val="ro-RO"/>
              </w:rPr>
              <w:lastRenderedPageBreak/>
              <w:t>Secțiunea 2. Indicatorul de măsurare a expunerii totale</w:t>
            </w:r>
          </w:p>
          <w:p w14:paraId="483AB8AC" w14:textId="403D507E" w:rsidR="00951D3F" w:rsidRPr="004D6136" w:rsidRDefault="00BF376B"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9.</w:t>
            </w:r>
            <w:r w:rsidR="00951D3F" w:rsidRPr="004D6136">
              <w:rPr>
                <w:rFonts w:ascii="Times New Roman" w:hAnsi="Times New Roman" w:cs="Times New Roman"/>
                <w:bCs/>
                <w:color w:val="000000" w:themeColor="text1"/>
                <w:lang w:val="ro-MD"/>
              </w:rPr>
              <w:t xml:space="preserve"> În sensul </w:t>
            </w:r>
            <w:r w:rsidRPr="004D6136">
              <w:rPr>
                <w:rFonts w:ascii="Times New Roman" w:hAnsi="Times New Roman" w:cs="Times New Roman"/>
                <w:bCs/>
                <w:color w:val="000000" w:themeColor="text1"/>
                <w:lang w:val="ro-MD"/>
              </w:rPr>
              <w:t>pct.7</w:t>
            </w:r>
            <w:r w:rsidR="00951D3F" w:rsidRPr="004D6136">
              <w:rPr>
                <w:rFonts w:ascii="Times New Roman" w:hAnsi="Times New Roman" w:cs="Times New Roman"/>
                <w:bCs/>
                <w:color w:val="000000" w:themeColor="text1"/>
                <w:lang w:val="ro-MD"/>
              </w:rPr>
              <w:t>, indicatorul de măsurare a expunerii totale este suma valorilor expunerilor următoarelor elemente:</w:t>
            </w:r>
          </w:p>
          <w:p w14:paraId="0FCB7E65" w14:textId="0E9EA285" w:rsidR="00951D3F" w:rsidRPr="004D6136" w:rsidRDefault="00BF376B"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9.1.</w:t>
            </w:r>
            <w:r w:rsidR="00951D3F" w:rsidRPr="004D6136">
              <w:rPr>
                <w:rFonts w:ascii="Times New Roman" w:hAnsi="Times New Roman" w:cs="Times New Roman"/>
                <w:bCs/>
                <w:color w:val="000000" w:themeColor="text1"/>
                <w:lang w:val="ro-MD"/>
              </w:rPr>
              <w:t xml:space="preserve"> activele, exceptând contractele derivate enumerate în </w:t>
            </w:r>
            <w:r w:rsidRPr="004D6136">
              <w:rPr>
                <w:rFonts w:ascii="Times New Roman" w:hAnsi="Times New Roman" w:cs="Times New Roman"/>
                <w:bCs/>
                <w:color w:val="000000" w:themeColor="text1"/>
                <w:lang w:val="ro-MD"/>
              </w:rPr>
              <w:t xml:space="preserve">anexa nr.1 din Regulamentul cu privire la tratamentul riscului de </w:t>
            </w:r>
            <w:proofErr w:type="spellStart"/>
            <w:r w:rsidRPr="004D6136">
              <w:rPr>
                <w:rFonts w:ascii="Times New Roman" w:hAnsi="Times New Roman" w:cs="Times New Roman"/>
                <w:bCs/>
                <w:color w:val="000000" w:themeColor="text1"/>
                <w:lang w:val="ro-MD"/>
              </w:rPr>
              <w:t>piaţă</w:t>
            </w:r>
            <w:proofErr w:type="spellEnd"/>
            <w:r w:rsidRPr="004D6136">
              <w:rPr>
                <w:rFonts w:ascii="Times New Roman" w:hAnsi="Times New Roman" w:cs="Times New Roman"/>
                <w:bCs/>
                <w:color w:val="000000" w:themeColor="text1"/>
                <w:lang w:val="ro-MD"/>
              </w:rPr>
              <w:t xml:space="preserve"> potrivit abordării standardizate, aprobat prin HCE al BNM nr.114/2018 (în continuare - Regulamentul nr.114/2018)</w:t>
            </w:r>
            <w:r w:rsidR="00951D3F" w:rsidRPr="004D6136">
              <w:rPr>
                <w:rFonts w:ascii="Times New Roman" w:hAnsi="Times New Roman" w:cs="Times New Roman"/>
                <w:bCs/>
                <w:color w:val="000000" w:themeColor="text1"/>
                <w:lang w:val="ro-MD"/>
              </w:rPr>
              <w:t xml:space="preserve">, instrumentele financiare derivate de credit și </w:t>
            </w:r>
            <w:proofErr w:type="spellStart"/>
            <w:r w:rsidR="00951D3F" w:rsidRPr="004D6136">
              <w:rPr>
                <w:rFonts w:ascii="Times New Roman" w:hAnsi="Times New Roman" w:cs="Times New Roman"/>
                <w:bCs/>
                <w:color w:val="000000" w:themeColor="text1"/>
                <w:lang w:val="ro-MD"/>
              </w:rPr>
              <w:t>poziţiile</w:t>
            </w:r>
            <w:proofErr w:type="spellEnd"/>
            <w:r w:rsidR="00951D3F" w:rsidRPr="004D6136">
              <w:rPr>
                <w:rFonts w:ascii="Times New Roman" w:hAnsi="Times New Roman" w:cs="Times New Roman"/>
                <w:bCs/>
                <w:color w:val="000000" w:themeColor="text1"/>
                <w:lang w:val="ro-MD"/>
              </w:rPr>
              <w:t xml:space="preserve"> </w:t>
            </w:r>
            <w:proofErr w:type="spellStart"/>
            <w:r w:rsidR="00951D3F" w:rsidRPr="004D6136">
              <w:rPr>
                <w:rFonts w:ascii="Times New Roman" w:hAnsi="Times New Roman" w:cs="Times New Roman"/>
                <w:bCs/>
                <w:color w:val="000000" w:themeColor="text1"/>
                <w:lang w:val="ro-MD"/>
              </w:rPr>
              <w:t>menţionate</w:t>
            </w:r>
            <w:proofErr w:type="spellEnd"/>
            <w:r w:rsidR="00951D3F" w:rsidRPr="004D6136">
              <w:rPr>
                <w:rFonts w:ascii="Times New Roman" w:hAnsi="Times New Roman" w:cs="Times New Roman"/>
                <w:bCs/>
                <w:color w:val="000000" w:themeColor="text1"/>
                <w:lang w:val="ro-MD"/>
              </w:rPr>
              <w:t xml:space="preserve"> la </w:t>
            </w:r>
            <w:r w:rsidR="00A55E6A" w:rsidRPr="004D6136">
              <w:rPr>
                <w:rFonts w:ascii="Times New Roman" w:hAnsi="Times New Roman" w:cs="Times New Roman"/>
                <w:bCs/>
                <w:color w:val="000000" w:themeColor="text1"/>
                <w:lang w:val="ro-MD"/>
              </w:rPr>
              <w:t>secțiunea 7</w:t>
            </w:r>
            <w:r w:rsidR="00951D3F" w:rsidRPr="004D6136">
              <w:rPr>
                <w:rFonts w:ascii="Times New Roman" w:hAnsi="Times New Roman" w:cs="Times New Roman"/>
                <w:bCs/>
                <w:color w:val="000000" w:themeColor="text1"/>
                <w:lang w:val="ro-MD"/>
              </w:rPr>
              <w:t xml:space="preserve">, calculate în conformitate cu </w:t>
            </w:r>
            <w:r w:rsidR="00BD1D93" w:rsidRPr="004D6136">
              <w:rPr>
                <w:rFonts w:ascii="Times New Roman" w:hAnsi="Times New Roman" w:cs="Times New Roman"/>
                <w:bCs/>
                <w:color w:val="000000" w:themeColor="text1"/>
                <w:lang w:val="ro-MD"/>
              </w:rPr>
              <w:t>pct.29</w:t>
            </w:r>
            <w:r w:rsidR="00951D3F" w:rsidRPr="004D6136">
              <w:rPr>
                <w:rFonts w:ascii="Times New Roman" w:hAnsi="Times New Roman" w:cs="Times New Roman"/>
                <w:bCs/>
                <w:color w:val="000000" w:themeColor="text1"/>
                <w:lang w:val="ro-MD"/>
              </w:rPr>
              <w:t>;</w:t>
            </w:r>
          </w:p>
          <w:p w14:paraId="0CBCAF5A" w14:textId="6FE86E57" w:rsidR="00951D3F" w:rsidRPr="004D6136" w:rsidRDefault="001461D3"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9.2.</w:t>
            </w:r>
            <w:r w:rsidR="00951D3F" w:rsidRPr="004D6136">
              <w:rPr>
                <w:rFonts w:ascii="Times New Roman" w:hAnsi="Times New Roman" w:cs="Times New Roman"/>
                <w:bCs/>
                <w:color w:val="000000" w:themeColor="text1"/>
                <w:lang w:val="ro-MD"/>
              </w:rPr>
              <w:t xml:space="preserve"> contractele derivate enumerate în </w:t>
            </w:r>
            <w:r w:rsidRPr="004D6136">
              <w:rPr>
                <w:rFonts w:ascii="Times New Roman" w:hAnsi="Times New Roman" w:cs="Times New Roman"/>
                <w:bCs/>
                <w:color w:val="000000" w:themeColor="text1"/>
                <w:lang w:val="ro-MD"/>
              </w:rPr>
              <w:t>anexa nr.1 din Regulamentul nr.114/2018</w:t>
            </w:r>
            <w:r w:rsidR="00951D3F" w:rsidRPr="004D6136">
              <w:rPr>
                <w:rFonts w:ascii="Times New Roman" w:hAnsi="Times New Roman" w:cs="Times New Roman"/>
                <w:bCs/>
                <w:color w:val="000000" w:themeColor="text1"/>
                <w:lang w:val="ro-MD"/>
              </w:rPr>
              <w:t xml:space="preserve"> și instrumentele financiare derivate de credit, inclusiv contractele și instrumentele financiare derivate de credit care sunt </w:t>
            </w:r>
            <w:proofErr w:type="spellStart"/>
            <w:r w:rsidR="00951D3F" w:rsidRPr="004D6136">
              <w:rPr>
                <w:rFonts w:ascii="Times New Roman" w:hAnsi="Times New Roman" w:cs="Times New Roman"/>
                <w:bCs/>
                <w:color w:val="000000" w:themeColor="text1"/>
                <w:lang w:val="ro-MD"/>
              </w:rPr>
              <w:t>extrabilanţiere</w:t>
            </w:r>
            <w:proofErr w:type="spellEnd"/>
            <w:r w:rsidR="00951D3F" w:rsidRPr="004D6136">
              <w:rPr>
                <w:rFonts w:ascii="Times New Roman" w:hAnsi="Times New Roman" w:cs="Times New Roman"/>
                <w:bCs/>
                <w:color w:val="000000" w:themeColor="text1"/>
                <w:lang w:val="ro-MD"/>
              </w:rPr>
              <w:t xml:space="preserve">, calculate în conformitate cu </w:t>
            </w:r>
            <w:r w:rsidR="00A55E6A" w:rsidRPr="004D6136">
              <w:rPr>
                <w:rFonts w:ascii="Times New Roman" w:hAnsi="Times New Roman" w:cs="Times New Roman"/>
                <w:bCs/>
                <w:color w:val="000000" w:themeColor="text1"/>
                <w:lang w:val="ro-MD"/>
              </w:rPr>
              <w:t>secțiunea 5 și 6</w:t>
            </w:r>
            <w:r w:rsidR="00951D3F" w:rsidRPr="004D6136">
              <w:rPr>
                <w:rFonts w:ascii="Times New Roman" w:hAnsi="Times New Roman" w:cs="Times New Roman"/>
                <w:bCs/>
                <w:color w:val="000000" w:themeColor="text1"/>
                <w:lang w:val="ro-MD"/>
              </w:rPr>
              <w:t>;</w:t>
            </w:r>
          </w:p>
          <w:p w14:paraId="3D9FCE30" w14:textId="5907A164" w:rsidR="00951D3F" w:rsidRPr="004D6136" w:rsidRDefault="001461D3"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9.3.</w:t>
            </w:r>
            <w:r w:rsidR="00951D3F" w:rsidRPr="004D6136">
              <w:rPr>
                <w:rFonts w:ascii="Times New Roman" w:hAnsi="Times New Roman" w:cs="Times New Roman"/>
                <w:bCs/>
                <w:color w:val="000000" w:themeColor="text1"/>
                <w:lang w:val="ro-MD"/>
              </w:rPr>
              <w:t xml:space="preserve"> majorările pentru riscul de credit al </w:t>
            </w:r>
            <w:proofErr w:type="spellStart"/>
            <w:r w:rsidR="00951D3F" w:rsidRPr="004D6136">
              <w:rPr>
                <w:rFonts w:ascii="Times New Roman" w:hAnsi="Times New Roman" w:cs="Times New Roman"/>
                <w:bCs/>
                <w:color w:val="000000" w:themeColor="text1"/>
                <w:lang w:val="ro-MD"/>
              </w:rPr>
              <w:t>contrapărţii</w:t>
            </w:r>
            <w:proofErr w:type="spellEnd"/>
            <w:r w:rsidR="00951D3F" w:rsidRPr="004D6136">
              <w:rPr>
                <w:rFonts w:ascii="Times New Roman" w:hAnsi="Times New Roman" w:cs="Times New Roman"/>
                <w:bCs/>
                <w:color w:val="000000" w:themeColor="text1"/>
                <w:lang w:val="ro-MD"/>
              </w:rPr>
              <w:t xml:space="preserve"> aferent </w:t>
            </w:r>
            <w:proofErr w:type="spellStart"/>
            <w:r w:rsidR="00951D3F" w:rsidRPr="004D6136">
              <w:rPr>
                <w:rFonts w:ascii="Times New Roman" w:hAnsi="Times New Roman" w:cs="Times New Roman"/>
                <w:bCs/>
                <w:color w:val="000000" w:themeColor="text1"/>
                <w:lang w:val="ro-MD"/>
              </w:rPr>
              <w:t>operaţiunilor</w:t>
            </w:r>
            <w:proofErr w:type="spellEnd"/>
            <w:r w:rsidR="00951D3F" w:rsidRPr="004D6136">
              <w:rPr>
                <w:rFonts w:ascii="Times New Roman" w:hAnsi="Times New Roman" w:cs="Times New Roman"/>
                <w:bCs/>
                <w:color w:val="000000" w:themeColor="text1"/>
                <w:lang w:val="ro-MD"/>
              </w:rPr>
              <w:t xml:space="preserve"> de </w:t>
            </w:r>
            <w:proofErr w:type="spellStart"/>
            <w:r w:rsidR="00951D3F" w:rsidRPr="004D6136">
              <w:rPr>
                <w:rFonts w:ascii="Times New Roman" w:hAnsi="Times New Roman" w:cs="Times New Roman"/>
                <w:bCs/>
                <w:color w:val="000000" w:themeColor="text1"/>
                <w:lang w:val="ro-MD"/>
              </w:rPr>
              <w:t>finanţare</w:t>
            </w:r>
            <w:proofErr w:type="spellEnd"/>
            <w:r w:rsidR="00951D3F" w:rsidRPr="004D6136">
              <w:rPr>
                <w:rFonts w:ascii="Times New Roman" w:hAnsi="Times New Roman" w:cs="Times New Roman"/>
                <w:bCs/>
                <w:color w:val="000000" w:themeColor="text1"/>
                <w:lang w:val="ro-MD"/>
              </w:rPr>
              <w:t xml:space="preserve"> prin titluri de valoare, inclusiv cele </w:t>
            </w:r>
            <w:proofErr w:type="spellStart"/>
            <w:r w:rsidR="00951D3F" w:rsidRPr="004D6136">
              <w:rPr>
                <w:rFonts w:ascii="Times New Roman" w:hAnsi="Times New Roman" w:cs="Times New Roman"/>
                <w:bCs/>
                <w:color w:val="000000" w:themeColor="text1"/>
                <w:lang w:val="ro-MD"/>
              </w:rPr>
              <w:t>extrabilanţiere</w:t>
            </w:r>
            <w:proofErr w:type="spellEnd"/>
            <w:r w:rsidR="00951D3F" w:rsidRPr="004D6136">
              <w:rPr>
                <w:rFonts w:ascii="Times New Roman" w:hAnsi="Times New Roman" w:cs="Times New Roman"/>
                <w:bCs/>
                <w:color w:val="000000" w:themeColor="text1"/>
                <w:lang w:val="ro-MD"/>
              </w:rPr>
              <w:t xml:space="preserve">, calculate în conformitate cu </w:t>
            </w:r>
            <w:r w:rsidR="00A645D4" w:rsidRPr="004D6136">
              <w:rPr>
                <w:rFonts w:ascii="Times New Roman" w:hAnsi="Times New Roman" w:cs="Times New Roman"/>
                <w:bCs/>
                <w:color w:val="000000" w:themeColor="text1"/>
                <w:lang w:val="ro-MD"/>
              </w:rPr>
              <w:t>secțiunea 7</w:t>
            </w:r>
            <w:r w:rsidR="00951D3F" w:rsidRPr="004D6136">
              <w:rPr>
                <w:rFonts w:ascii="Times New Roman" w:hAnsi="Times New Roman" w:cs="Times New Roman"/>
                <w:bCs/>
                <w:color w:val="000000" w:themeColor="text1"/>
                <w:lang w:val="ro-MD"/>
              </w:rPr>
              <w:t>;</w:t>
            </w:r>
          </w:p>
          <w:p w14:paraId="36B5CDA5" w14:textId="28EC94B7" w:rsidR="00951D3F" w:rsidRPr="004D6136" w:rsidRDefault="001461D3"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9.4.</w:t>
            </w:r>
            <w:r w:rsidR="00951D3F" w:rsidRPr="004D6136">
              <w:rPr>
                <w:rFonts w:ascii="Times New Roman" w:hAnsi="Times New Roman" w:cs="Times New Roman"/>
                <w:bCs/>
                <w:color w:val="000000" w:themeColor="text1"/>
                <w:lang w:val="ro-MD"/>
              </w:rPr>
              <w:t xml:space="preserve"> elementele </w:t>
            </w:r>
            <w:proofErr w:type="spellStart"/>
            <w:r w:rsidR="00951D3F" w:rsidRPr="004D6136">
              <w:rPr>
                <w:rFonts w:ascii="Times New Roman" w:hAnsi="Times New Roman" w:cs="Times New Roman"/>
                <w:bCs/>
                <w:color w:val="000000" w:themeColor="text1"/>
                <w:lang w:val="ro-MD"/>
              </w:rPr>
              <w:t>extrabilanţiere</w:t>
            </w:r>
            <w:proofErr w:type="spellEnd"/>
            <w:r w:rsidR="00951D3F" w:rsidRPr="004D6136">
              <w:rPr>
                <w:rFonts w:ascii="Times New Roman" w:hAnsi="Times New Roman" w:cs="Times New Roman"/>
                <w:bCs/>
                <w:color w:val="000000" w:themeColor="text1"/>
                <w:lang w:val="ro-MD"/>
              </w:rPr>
              <w:t xml:space="preserve">, exceptând contractele derivate enumerate în </w:t>
            </w:r>
            <w:r w:rsidRPr="004D6136">
              <w:rPr>
                <w:rFonts w:ascii="Times New Roman" w:hAnsi="Times New Roman" w:cs="Times New Roman"/>
                <w:bCs/>
                <w:color w:val="000000" w:themeColor="text1"/>
                <w:lang w:val="ro-MD"/>
              </w:rPr>
              <w:t>anexa nr.1 din Regulamentul nr.114/2018</w:t>
            </w:r>
            <w:r w:rsidR="00951D3F" w:rsidRPr="004D6136">
              <w:rPr>
                <w:rFonts w:ascii="Times New Roman" w:hAnsi="Times New Roman" w:cs="Times New Roman"/>
                <w:bCs/>
                <w:color w:val="000000" w:themeColor="text1"/>
                <w:lang w:val="ro-MD"/>
              </w:rPr>
              <w:t xml:space="preserve">, instrumentele financiare derivate de </w:t>
            </w:r>
            <w:r w:rsidR="00951D3F" w:rsidRPr="004D6136">
              <w:rPr>
                <w:rFonts w:ascii="Times New Roman" w:hAnsi="Times New Roman" w:cs="Times New Roman"/>
                <w:bCs/>
                <w:color w:val="000000" w:themeColor="text1"/>
                <w:lang w:val="ro-MD"/>
              </w:rPr>
              <w:lastRenderedPageBreak/>
              <w:t xml:space="preserve">credit, </w:t>
            </w:r>
            <w:proofErr w:type="spellStart"/>
            <w:r w:rsidR="00951D3F" w:rsidRPr="004D6136">
              <w:rPr>
                <w:rFonts w:ascii="Times New Roman" w:hAnsi="Times New Roman" w:cs="Times New Roman"/>
                <w:bCs/>
                <w:color w:val="000000" w:themeColor="text1"/>
                <w:lang w:val="ro-MD"/>
              </w:rPr>
              <w:t>operaţiunile</w:t>
            </w:r>
            <w:proofErr w:type="spellEnd"/>
            <w:r w:rsidR="00951D3F" w:rsidRPr="004D6136">
              <w:rPr>
                <w:rFonts w:ascii="Times New Roman" w:hAnsi="Times New Roman" w:cs="Times New Roman"/>
                <w:bCs/>
                <w:color w:val="000000" w:themeColor="text1"/>
                <w:lang w:val="ro-MD"/>
              </w:rPr>
              <w:t xml:space="preserve"> de </w:t>
            </w:r>
            <w:proofErr w:type="spellStart"/>
            <w:r w:rsidR="00951D3F" w:rsidRPr="004D6136">
              <w:rPr>
                <w:rFonts w:ascii="Times New Roman" w:hAnsi="Times New Roman" w:cs="Times New Roman"/>
                <w:bCs/>
                <w:color w:val="000000" w:themeColor="text1"/>
                <w:lang w:val="ro-MD"/>
              </w:rPr>
              <w:t>finanţare</w:t>
            </w:r>
            <w:proofErr w:type="spellEnd"/>
            <w:r w:rsidR="00951D3F" w:rsidRPr="004D6136">
              <w:rPr>
                <w:rFonts w:ascii="Times New Roman" w:hAnsi="Times New Roman" w:cs="Times New Roman"/>
                <w:bCs/>
                <w:color w:val="000000" w:themeColor="text1"/>
                <w:lang w:val="ro-MD"/>
              </w:rPr>
              <w:t xml:space="preserve"> prin titluri de valoare și </w:t>
            </w:r>
            <w:proofErr w:type="spellStart"/>
            <w:r w:rsidR="00951D3F" w:rsidRPr="004D6136">
              <w:rPr>
                <w:rFonts w:ascii="Times New Roman" w:hAnsi="Times New Roman" w:cs="Times New Roman"/>
                <w:bCs/>
                <w:color w:val="000000" w:themeColor="text1"/>
                <w:lang w:val="ro-MD"/>
              </w:rPr>
              <w:t>poziţiile</w:t>
            </w:r>
            <w:proofErr w:type="spellEnd"/>
            <w:r w:rsidR="00951D3F" w:rsidRPr="004D6136">
              <w:rPr>
                <w:rFonts w:ascii="Times New Roman" w:hAnsi="Times New Roman" w:cs="Times New Roman"/>
                <w:bCs/>
                <w:color w:val="000000" w:themeColor="text1"/>
                <w:lang w:val="ro-MD"/>
              </w:rPr>
              <w:t xml:space="preserve"> </w:t>
            </w:r>
            <w:proofErr w:type="spellStart"/>
            <w:r w:rsidR="00951D3F" w:rsidRPr="004D6136">
              <w:rPr>
                <w:rFonts w:ascii="Times New Roman" w:hAnsi="Times New Roman" w:cs="Times New Roman"/>
                <w:bCs/>
                <w:color w:val="000000" w:themeColor="text1"/>
                <w:lang w:val="ro-MD"/>
              </w:rPr>
              <w:t>menţionate</w:t>
            </w:r>
            <w:proofErr w:type="spellEnd"/>
            <w:r w:rsidR="00951D3F" w:rsidRPr="004D6136">
              <w:rPr>
                <w:rFonts w:ascii="Times New Roman" w:hAnsi="Times New Roman" w:cs="Times New Roman"/>
                <w:bCs/>
                <w:color w:val="000000" w:themeColor="text1"/>
                <w:lang w:val="ro-MD"/>
              </w:rPr>
              <w:t xml:space="preserve"> la </w:t>
            </w:r>
            <w:r w:rsidR="00A645D4" w:rsidRPr="004D6136">
              <w:rPr>
                <w:rFonts w:ascii="Times New Roman" w:hAnsi="Times New Roman" w:cs="Times New Roman"/>
                <w:bCs/>
                <w:color w:val="000000" w:themeColor="text1"/>
                <w:lang w:val="ro-MD"/>
              </w:rPr>
              <w:t>secțiunile 6 și 9</w:t>
            </w:r>
            <w:r w:rsidR="00951D3F" w:rsidRPr="004D6136">
              <w:rPr>
                <w:rFonts w:ascii="Times New Roman" w:hAnsi="Times New Roman" w:cs="Times New Roman"/>
                <w:bCs/>
                <w:color w:val="000000" w:themeColor="text1"/>
                <w:lang w:val="ro-MD"/>
              </w:rPr>
              <w:t xml:space="preserve">, calculate în conformitate cu </w:t>
            </w:r>
            <w:r w:rsidR="00A645D4" w:rsidRPr="004D6136">
              <w:rPr>
                <w:rFonts w:ascii="Times New Roman" w:hAnsi="Times New Roman" w:cs="Times New Roman"/>
                <w:bCs/>
                <w:color w:val="000000" w:themeColor="text1"/>
                <w:lang w:val="ro-MD"/>
              </w:rPr>
              <w:t>secțiunea 8</w:t>
            </w:r>
            <w:r w:rsidR="00951D3F" w:rsidRPr="004D6136">
              <w:rPr>
                <w:rFonts w:ascii="Times New Roman" w:hAnsi="Times New Roman" w:cs="Times New Roman"/>
                <w:bCs/>
                <w:color w:val="000000" w:themeColor="text1"/>
                <w:lang w:val="ro-MD"/>
              </w:rPr>
              <w:t>;</w:t>
            </w:r>
          </w:p>
          <w:p w14:paraId="779F1458" w14:textId="26430A15" w:rsidR="00951D3F" w:rsidRPr="004D6136" w:rsidRDefault="001461D3"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9.5.</w:t>
            </w:r>
            <w:r w:rsidR="00951D3F" w:rsidRPr="004D6136">
              <w:rPr>
                <w:rFonts w:ascii="Times New Roman" w:hAnsi="Times New Roman" w:cs="Times New Roman"/>
                <w:bCs/>
                <w:color w:val="000000" w:themeColor="text1"/>
                <w:lang w:val="ro-MD"/>
              </w:rPr>
              <w:t xml:space="preserve"> </w:t>
            </w:r>
            <w:proofErr w:type="spellStart"/>
            <w:r w:rsidR="00951D3F" w:rsidRPr="004D6136">
              <w:rPr>
                <w:rFonts w:ascii="Times New Roman" w:hAnsi="Times New Roman" w:cs="Times New Roman"/>
                <w:bCs/>
                <w:color w:val="000000" w:themeColor="text1"/>
                <w:lang w:val="ro-MD"/>
              </w:rPr>
              <w:t>achiziţiile</w:t>
            </w:r>
            <w:proofErr w:type="spellEnd"/>
            <w:r w:rsidR="00951D3F" w:rsidRPr="004D6136">
              <w:rPr>
                <w:rFonts w:ascii="Times New Roman" w:hAnsi="Times New Roman" w:cs="Times New Roman"/>
                <w:bCs/>
                <w:color w:val="000000" w:themeColor="text1"/>
                <w:lang w:val="ro-MD"/>
              </w:rPr>
              <w:t xml:space="preserve"> sau vânzările standard care urmează a fi decontate, calculate în conformitate cu </w:t>
            </w:r>
            <w:r w:rsidR="00A645D4" w:rsidRPr="004D6136">
              <w:rPr>
                <w:rFonts w:ascii="Times New Roman" w:hAnsi="Times New Roman" w:cs="Times New Roman"/>
                <w:bCs/>
                <w:color w:val="000000" w:themeColor="text1"/>
                <w:lang w:val="ro-MD"/>
              </w:rPr>
              <w:t>secțiunea 9</w:t>
            </w:r>
            <w:r w:rsidR="00951D3F" w:rsidRPr="004D6136">
              <w:rPr>
                <w:rFonts w:ascii="Times New Roman" w:hAnsi="Times New Roman" w:cs="Times New Roman"/>
                <w:bCs/>
                <w:color w:val="000000" w:themeColor="text1"/>
                <w:lang w:val="ro-MD"/>
              </w:rPr>
              <w:t>.</w:t>
            </w:r>
          </w:p>
          <w:p w14:paraId="2CDC7945" w14:textId="4955693F" w:rsidR="00951D3F" w:rsidRPr="004D6136" w:rsidRDefault="001461D3"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10. Băncile</w:t>
            </w:r>
            <w:r w:rsidR="00951D3F" w:rsidRPr="004D6136">
              <w:rPr>
                <w:rFonts w:ascii="Times New Roman" w:hAnsi="Times New Roman" w:cs="Times New Roman"/>
                <w:bCs/>
                <w:color w:val="000000" w:themeColor="text1"/>
                <w:lang w:val="ro-MD"/>
              </w:rPr>
              <w:t xml:space="preserve"> tratează </w:t>
            </w:r>
            <w:proofErr w:type="spellStart"/>
            <w:r w:rsidR="00951D3F" w:rsidRPr="004D6136">
              <w:rPr>
                <w:rFonts w:ascii="Times New Roman" w:hAnsi="Times New Roman" w:cs="Times New Roman"/>
                <w:bCs/>
                <w:color w:val="000000" w:themeColor="text1"/>
                <w:lang w:val="ro-MD"/>
              </w:rPr>
              <w:t>tranzacţiile</w:t>
            </w:r>
            <w:proofErr w:type="spellEnd"/>
            <w:r w:rsidR="00951D3F" w:rsidRPr="004D6136">
              <w:rPr>
                <w:rFonts w:ascii="Times New Roman" w:hAnsi="Times New Roman" w:cs="Times New Roman"/>
                <w:bCs/>
                <w:color w:val="000000" w:themeColor="text1"/>
                <w:lang w:val="ro-MD"/>
              </w:rPr>
              <w:t xml:space="preserve"> cu termen lung de decontare în conformitate cu </w:t>
            </w:r>
            <w:r w:rsidRPr="004D6136">
              <w:rPr>
                <w:rFonts w:ascii="Times New Roman" w:hAnsi="Times New Roman" w:cs="Times New Roman"/>
                <w:bCs/>
                <w:color w:val="000000" w:themeColor="text1"/>
                <w:lang w:val="ro-MD"/>
              </w:rPr>
              <w:t>subpct.9.1-9.4</w:t>
            </w:r>
            <w:r w:rsidR="00951D3F" w:rsidRPr="004D6136">
              <w:rPr>
                <w:rFonts w:ascii="Times New Roman" w:hAnsi="Times New Roman" w:cs="Times New Roman"/>
                <w:bCs/>
                <w:color w:val="000000" w:themeColor="text1"/>
                <w:lang w:val="ro-MD"/>
              </w:rPr>
              <w:t>, după caz.</w:t>
            </w:r>
          </w:p>
          <w:p w14:paraId="6C2B83E5" w14:textId="75CC599A" w:rsidR="00951D3F" w:rsidRPr="004D6136" w:rsidRDefault="001461D3"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11. Băncile</w:t>
            </w:r>
            <w:r w:rsidR="00951D3F" w:rsidRPr="004D6136">
              <w:rPr>
                <w:rFonts w:ascii="Times New Roman" w:hAnsi="Times New Roman" w:cs="Times New Roman"/>
                <w:bCs/>
                <w:color w:val="000000" w:themeColor="text1"/>
                <w:lang w:val="ro-MD"/>
              </w:rPr>
              <w:t xml:space="preserve"> pot reduce valorile expunerilor </w:t>
            </w:r>
            <w:proofErr w:type="spellStart"/>
            <w:r w:rsidR="00951D3F" w:rsidRPr="004D6136">
              <w:rPr>
                <w:rFonts w:ascii="Times New Roman" w:hAnsi="Times New Roman" w:cs="Times New Roman"/>
                <w:bCs/>
                <w:color w:val="000000" w:themeColor="text1"/>
                <w:lang w:val="ro-MD"/>
              </w:rPr>
              <w:t>menţionate</w:t>
            </w:r>
            <w:proofErr w:type="spellEnd"/>
            <w:r w:rsidR="00951D3F" w:rsidRPr="004D6136">
              <w:rPr>
                <w:rFonts w:ascii="Times New Roman" w:hAnsi="Times New Roman" w:cs="Times New Roman"/>
                <w:bCs/>
                <w:color w:val="000000" w:themeColor="text1"/>
                <w:lang w:val="ro-MD"/>
              </w:rPr>
              <w:t xml:space="preserve"> la </w:t>
            </w:r>
            <w:r w:rsidRPr="004D6136">
              <w:rPr>
                <w:rFonts w:ascii="Times New Roman" w:hAnsi="Times New Roman" w:cs="Times New Roman"/>
                <w:bCs/>
                <w:color w:val="000000" w:themeColor="text1"/>
                <w:lang w:val="ro-MD"/>
              </w:rPr>
              <w:t xml:space="preserve">subpct.9.1 și 9.4 </w:t>
            </w:r>
            <w:r w:rsidR="00951D3F" w:rsidRPr="004D6136">
              <w:rPr>
                <w:rFonts w:ascii="Times New Roman" w:hAnsi="Times New Roman" w:cs="Times New Roman"/>
                <w:bCs/>
                <w:color w:val="000000" w:themeColor="text1"/>
                <w:lang w:val="ro-MD"/>
              </w:rPr>
              <w:t xml:space="preserve"> cu valoarea corespunzătoare a ajustărilor generale pentru riscul de credit aferente elementelor </w:t>
            </w:r>
            <w:proofErr w:type="spellStart"/>
            <w:r w:rsidR="00951D3F" w:rsidRPr="004D6136">
              <w:rPr>
                <w:rFonts w:ascii="Times New Roman" w:hAnsi="Times New Roman" w:cs="Times New Roman"/>
                <w:bCs/>
                <w:color w:val="000000" w:themeColor="text1"/>
                <w:lang w:val="ro-MD"/>
              </w:rPr>
              <w:t>bilanţiere</w:t>
            </w:r>
            <w:proofErr w:type="spellEnd"/>
            <w:r w:rsidR="00951D3F" w:rsidRPr="004D6136">
              <w:rPr>
                <w:rFonts w:ascii="Times New Roman" w:hAnsi="Times New Roman" w:cs="Times New Roman"/>
                <w:bCs/>
                <w:color w:val="000000" w:themeColor="text1"/>
                <w:lang w:val="ro-MD"/>
              </w:rPr>
              <w:t xml:space="preserve"> și, respectiv, </w:t>
            </w:r>
            <w:proofErr w:type="spellStart"/>
            <w:r w:rsidR="00951D3F" w:rsidRPr="004D6136">
              <w:rPr>
                <w:rFonts w:ascii="Times New Roman" w:hAnsi="Times New Roman" w:cs="Times New Roman"/>
                <w:bCs/>
                <w:color w:val="000000" w:themeColor="text1"/>
                <w:lang w:val="ro-MD"/>
              </w:rPr>
              <w:t>extrabilanţiere</w:t>
            </w:r>
            <w:proofErr w:type="spellEnd"/>
            <w:r w:rsidR="00951D3F" w:rsidRPr="004D6136">
              <w:rPr>
                <w:rFonts w:ascii="Times New Roman" w:hAnsi="Times New Roman" w:cs="Times New Roman"/>
                <w:bCs/>
                <w:color w:val="000000" w:themeColor="text1"/>
                <w:lang w:val="ro-MD"/>
              </w:rPr>
              <w:t>, sub rezerva unui prag egal cu 0 în cazul în care ajustările pentru riscul de credit au redus fondurile proprii de nivel 1.</w:t>
            </w:r>
          </w:p>
        </w:tc>
        <w:tc>
          <w:tcPr>
            <w:tcW w:w="585" w:type="pct"/>
          </w:tcPr>
          <w:p w14:paraId="5C6FD523" w14:textId="6D827E5D" w:rsidR="00951D3F" w:rsidRPr="004D6136" w:rsidRDefault="00C411D1" w:rsidP="00951D3F">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compatibil</w:t>
            </w:r>
          </w:p>
        </w:tc>
        <w:tc>
          <w:tcPr>
            <w:tcW w:w="1261" w:type="pct"/>
          </w:tcPr>
          <w:p w14:paraId="49507DC0" w14:textId="77777777" w:rsidR="00951D3F" w:rsidRPr="004D6136" w:rsidRDefault="00951D3F" w:rsidP="00951D3F">
            <w:pPr>
              <w:spacing w:line="276" w:lineRule="auto"/>
              <w:jc w:val="both"/>
              <w:rPr>
                <w:rFonts w:ascii="Times New Roman" w:hAnsi="Times New Roman" w:cs="Times New Roman"/>
                <w:bCs/>
                <w:color w:val="000000" w:themeColor="text1"/>
                <w:lang w:val="ro-MD"/>
              </w:rPr>
            </w:pPr>
          </w:p>
        </w:tc>
      </w:tr>
      <w:tr w:rsidR="00951D3F" w:rsidRPr="004D6136" w14:paraId="2D1C0D52" w14:textId="77777777" w:rsidTr="00FC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5717384D" w14:textId="6AE63908"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(5) Prin derogare de la alineatul (4) litera (d), se aplică următoarele </w:t>
            </w:r>
            <w:proofErr w:type="spellStart"/>
            <w:r w:rsidRPr="004D6136">
              <w:rPr>
                <w:rFonts w:ascii="Times New Roman" w:hAnsi="Times New Roman" w:cs="Times New Roman"/>
                <w:bCs/>
                <w:color w:val="000000" w:themeColor="text1"/>
                <w:lang w:val="ro-MD"/>
              </w:rPr>
              <w:t>dispoziţii</w:t>
            </w:r>
            <w:proofErr w:type="spellEnd"/>
            <w:r w:rsidRPr="004D6136">
              <w:rPr>
                <w:rFonts w:ascii="Times New Roman" w:hAnsi="Times New Roman" w:cs="Times New Roman"/>
                <w:bCs/>
                <w:color w:val="000000" w:themeColor="text1"/>
                <w:lang w:val="ro-MD"/>
              </w:rPr>
              <w:t>:</w:t>
            </w:r>
          </w:p>
          <w:p w14:paraId="30D7BDEA" w14:textId="77777777" w:rsidR="00951D3F" w:rsidRPr="004D6136" w:rsidRDefault="00951D3F" w:rsidP="00951D3F">
            <w:pPr>
              <w:spacing w:after="0" w:line="276" w:lineRule="auto"/>
              <w:jc w:val="both"/>
              <w:rPr>
                <w:rFonts w:ascii="Times New Roman" w:hAnsi="Times New Roman" w:cs="Times New Roman"/>
                <w:b/>
                <w:color w:val="000000" w:themeColor="text1"/>
                <w:lang w:val="ro-MD"/>
              </w:rPr>
            </w:pPr>
            <w:r w:rsidRPr="004D6136">
              <w:rPr>
                <w:rFonts w:ascii="Times New Roman" w:hAnsi="Times New Roman" w:cs="Times New Roman"/>
                <w:b/>
                <w:color w:val="000000" w:themeColor="text1"/>
                <w:lang w:val="ro-MD"/>
              </w:rPr>
              <w:t>▼C7</w:t>
            </w:r>
          </w:p>
          <w:p w14:paraId="5D211017" w14:textId="67454D85"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(a) un element </w:t>
            </w:r>
            <w:proofErr w:type="spellStart"/>
            <w:r w:rsidRPr="004D6136">
              <w:rPr>
                <w:rFonts w:ascii="Times New Roman" w:hAnsi="Times New Roman" w:cs="Times New Roman"/>
                <w:bCs/>
                <w:color w:val="000000" w:themeColor="text1"/>
                <w:lang w:val="ro-MD"/>
              </w:rPr>
              <w:t>extrabilanţier</w:t>
            </w:r>
            <w:proofErr w:type="spellEnd"/>
            <w:r w:rsidRPr="004D6136">
              <w:rPr>
                <w:rFonts w:ascii="Times New Roman" w:hAnsi="Times New Roman" w:cs="Times New Roman"/>
                <w:bCs/>
                <w:color w:val="000000" w:themeColor="text1"/>
                <w:lang w:val="ro-MD"/>
              </w:rPr>
              <w:t xml:space="preserve"> în conformitate cu alineatul (4) litera (d) care este tratat ca un instrument financiar derivat în conformitate cu cadrul contabil aplicabil face obiectul tratamentului prevăzut la litera (b) din respectivul alineat;</w:t>
            </w:r>
          </w:p>
          <w:p w14:paraId="58732C61" w14:textId="77777777" w:rsidR="00951D3F" w:rsidRPr="004D6136" w:rsidRDefault="00951D3F" w:rsidP="00951D3F">
            <w:pPr>
              <w:spacing w:after="0" w:line="276" w:lineRule="auto"/>
              <w:jc w:val="both"/>
              <w:rPr>
                <w:rFonts w:ascii="Times New Roman" w:hAnsi="Times New Roman" w:cs="Times New Roman"/>
                <w:b/>
                <w:color w:val="000000" w:themeColor="text1"/>
                <w:lang w:val="ro-MD"/>
              </w:rPr>
            </w:pPr>
            <w:r w:rsidRPr="004D6136">
              <w:rPr>
                <w:rFonts w:ascii="Times New Roman" w:hAnsi="Times New Roman" w:cs="Times New Roman"/>
                <w:b/>
                <w:color w:val="000000" w:themeColor="text1"/>
                <w:lang w:val="ro-MD"/>
              </w:rPr>
              <w:t>▼M8</w:t>
            </w:r>
          </w:p>
          <w:p w14:paraId="17FD9434" w14:textId="2168E14F"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 xml:space="preserve">(b) în cazul în care un client al unei </w:t>
            </w:r>
            <w:proofErr w:type="spellStart"/>
            <w:r w:rsidRPr="004D6136">
              <w:rPr>
                <w:rFonts w:ascii="Times New Roman" w:hAnsi="Times New Roman" w:cs="Times New Roman"/>
                <w:bCs/>
                <w:color w:val="000000" w:themeColor="text1"/>
                <w:lang w:val="ro-MD"/>
              </w:rPr>
              <w:t>instituţii</w:t>
            </w:r>
            <w:proofErr w:type="spellEnd"/>
            <w:r w:rsidRPr="004D6136">
              <w:rPr>
                <w:rFonts w:ascii="Times New Roman" w:hAnsi="Times New Roman" w:cs="Times New Roman"/>
                <w:bCs/>
                <w:color w:val="000000" w:themeColor="text1"/>
                <w:lang w:val="ro-MD"/>
              </w:rPr>
              <w:t xml:space="preserve"> care </w:t>
            </w:r>
            <w:proofErr w:type="spellStart"/>
            <w:r w:rsidRPr="004D6136">
              <w:rPr>
                <w:rFonts w:ascii="Times New Roman" w:hAnsi="Times New Roman" w:cs="Times New Roman"/>
                <w:bCs/>
                <w:color w:val="000000" w:themeColor="text1"/>
                <w:lang w:val="ro-MD"/>
              </w:rPr>
              <w:t>acţionează</w:t>
            </w:r>
            <w:proofErr w:type="spellEnd"/>
            <w:r w:rsidRPr="004D6136">
              <w:rPr>
                <w:rFonts w:ascii="Times New Roman" w:hAnsi="Times New Roman" w:cs="Times New Roman"/>
                <w:bCs/>
                <w:color w:val="000000" w:themeColor="text1"/>
                <w:lang w:val="ro-MD"/>
              </w:rPr>
              <w:t xml:space="preserve"> ca membru compensator realizează direct o </w:t>
            </w:r>
            <w:proofErr w:type="spellStart"/>
            <w:r w:rsidRPr="004D6136">
              <w:rPr>
                <w:rFonts w:ascii="Times New Roman" w:hAnsi="Times New Roman" w:cs="Times New Roman"/>
                <w:bCs/>
                <w:color w:val="000000" w:themeColor="text1"/>
                <w:lang w:val="ro-MD"/>
              </w:rPr>
              <w:t>tranzacţie</w:t>
            </w:r>
            <w:proofErr w:type="spellEnd"/>
            <w:r w:rsidRPr="004D6136">
              <w:rPr>
                <w:rFonts w:ascii="Times New Roman" w:hAnsi="Times New Roman" w:cs="Times New Roman"/>
                <w:bCs/>
                <w:color w:val="000000" w:themeColor="text1"/>
                <w:lang w:val="ro-MD"/>
              </w:rPr>
              <w:t xml:space="preserve"> cu instrumente financiare derivate cu o CPC iar </w:t>
            </w:r>
            <w:proofErr w:type="spellStart"/>
            <w:r w:rsidRPr="004D6136">
              <w:rPr>
                <w:rFonts w:ascii="Times New Roman" w:hAnsi="Times New Roman" w:cs="Times New Roman"/>
                <w:bCs/>
                <w:color w:val="000000" w:themeColor="text1"/>
                <w:lang w:val="ro-MD"/>
              </w:rPr>
              <w:t>instituţia</w:t>
            </w:r>
            <w:proofErr w:type="spellEnd"/>
            <w:r w:rsidRPr="004D6136">
              <w:rPr>
                <w:rFonts w:ascii="Times New Roman" w:hAnsi="Times New Roman" w:cs="Times New Roman"/>
                <w:bCs/>
                <w:color w:val="000000" w:themeColor="text1"/>
                <w:lang w:val="ro-MD"/>
              </w:rPr>
              <w:t xml:space="preserve"> garantează </w:t>
            </w:r>
            <w:proofErr w:type="spellStart"/>
            <w:r w:rsidRPr="004D6136">
              <w:rPr>
                <w:rFonts w:ascii="Times New Roman" w:hAnsi="Times New Roman" w:cs="Times New Roman"/>
                <w:bCs/>
                <w:color w:val="000000" w:themeColor="text1"/>
                <w:lang w:val="ro-MD"/>
              </w:rPr>
              <w:t>performanţa</w:t>
            </w:r>
            <w:proofErr w:type="spellEnd"/>
            <w:r w:rsidRPr="004D6136">
              <w:rPr>
                <w:rFonts w:ascii="Times New Roman" w:hAnsi="Times New Roman" w:cs="Times New Roman"/>
                <w:bCs/>
                <w:color w:val="000000" w:themeColor="text1"/>
                <w:lang w:val="ro-MD"/>
              </w:rPr>
              <w:t xml:space="preserve"> expunerilor din </w:t>
            </w:r>
            <w:proofErr w:type="spellStart"/>
            <w:r w:rsidRPr="004D6136">
              <w:rPr>
                <w:rFonts w:ascii="Times New Roman" w:hAnsi="Times New Roman" w:cs="Times New Roman"/>
                <w:bCs/>
                <w:color w:val="000000" w:themeColor="text1"/>
                <w:lang w:val="ro-MD"/>
              </w:rPr>
              <w:t>tranzacţii</w:t>
            </w:r>
            <w:proofErr w:type="spellEnd"/>
            <w:r w:rsidRPr="004D6136">
              <w:rPr>
                <w:rFonts w:ascii="Times New Roman" w:hAnsi="Times New Roman" w:cs="Times New Roman"/>
                <w:bCs/>
                <w:color w:val="000000" w:themeColor="text1"/>
                <w:lang w:val="ro-MD"/>
              </w:rPr>
              <w:t xml:space="preserve"> </w:t>
            </w:r>
            <w:proofErr w:type="spellStart"/>
            <w:r w:rsidRPr="004D6136">
              <w:rPr>
                <w:rFonts w:ascii="Times New Roman" w:hAnsi="Times New Roman" w:cs="Times New Roman"/>
                <w:bCs/>
                <w:color w:val="000000" w:themeColor="text1"/>
                <w:lang w:val="ro-MD"/>
              </w:rPr>
              <w:t>faţă</w:t>
            </w:r>
            <w:proofErr w:type="spellEnd"/>
            <w:r w:rsidRPr="004D6136">
              <w:rPr>
                <w:rFonts w:ascii="Times New Roman" w:hAnsi="Times New Roman" w:cs="Times New Roman"/>
                <w:bCs/>
                <w:color w:val="000000" w:themeColor="text1"/>
                <w:lang w:val="ro-MD"/>
              </w:rPr>
              <w:t xml:space="preserve"> de CPC ale clientului său care decurg din această </w:t>
            </w:r>
            <w:proofErr w:type="spellStart"/>
            <w:r w:rsidRPr="004D6136">
              <w:rPr>
                <w:rFonts w:ascii="Times New Roman" w:hAnsi="Times New Roman" w:cs="Times New Roman"/>
                <w:bCs/>
                <w:color w:val="000000" w:themeColor="text1"/>
                <w:lang w:val="ro-MD"/>
              </w:rPr>
              <w:t>tranzacţie</w:t>
            </w:r>
            <w:proofErr w:type="spellEnd"/>
            <w:r w:rsidRPr="004D6136">
              <w:rPr>
                <w:rFonts w:ascii="Times New Roman" w:hAnsi="Times New Roman" w:cs="Times New Roman"/>
                <w:bCs/>
                <w:color w:val="000000" w:themeColor="text1"/>
                <w:lang w:val="ro-MD"/>
              </w:rPr>
              <w:t xml:space="preserve">, </w:t>
            </w:r>
            <w:proofErr w:type="spellStart"/>
            <w:r w:rsidRPr="004D6136">
              <w:rPr>
                <w:rFonts w:ascii="Times New Roman" w:hAnsi="Times New Roman" w:cs="Times New Roman"/>
                <w:bCs/>
                <w:color w:val="000000" w:themeColor="text1"/>
                <w:lang w:val="ro-MD"/>
              </w:rPr>
              <w:t>instituţia</w:t>
            </w:r>
            <w:proofErr w:type="spellEnd"/>
            <w:r w:rsidRPr="004D6136">
              <w:rPr>
                <w:rFonts w:ascii="Times New Roman" w:hAnsi="Times New Roman" w:cs="Times New Roman"/>
                <w:bCs/>
                <w:color w:val="000000" w:themeColor="text1"/>
                <w:lang w:val="ro-MD"/>
              </w:rPr>
              <w:t xml:space="preserve"> își calculează expunerea care rezultă din </w:t>
            </w:r>
            <w:proofErr w:type="spellStart"/>
            <w:r w:rsidRPr="004D6136">
              <w:rPr>
                <w:rFonts w:ascii="Times New Roman" w:hAnsi="Times New Roman" w:cs="Times New Roman"/>
                <w:bCs/>
                <w:color w:val="000000" w:themeColor="text1"/>
                <w:lang w:val="ro-MD"/>
              </w:rPr>
              <w:t>garanţie</w:t>
            </w:r>
            <w:proofErr w:type="spellEnd"/>
            <w:r w:rsidRPr="004D6136">
              <w:rPr>
                <w:rFonts w:ascii="Times New Roman" w:hAnsi="Times New Roman" w:cs="Times New Roman"/>
                <w:bCs/>
                <w:color w:val="000000" w:themeColor="text1"/>
                <w:lang w:val="ro-MD"/>
              </w:rPr>
              <w:t xml:space="preserve"> în conformitate cu alineatul (4) litera (b) ca și cum acea </w:t>
            </w:r>
            <w:proofErr w:type="spellStart"/>
            <w:r w:rsidRPr="004D6136">
              <w:rPr>
                <w:rFonts w:ascii="Times New Roman" w:hAnsi="Times New Roman" w:cs="Times New Roman"/>
                <w:bCs/>
                <w:color w:val="000000" w:themeColor="text1"/>
                <w:lang w:val="ro-MD"/>
              </w:rPr>
              <w:t>instituţie</w:t>
            </w:r>
            <w:proofErr w:type="spellEnd"/>
            <w:r w:rsidRPr="004D6136">
              <w:rPr>
                <w:rFonts w:ascii="Times New Roman" w:hAnsi="Times New Roman" w:cs="Times New Roman"/>
                <w:bCs/>
                <w:color w:val="000000" w:themeColor="text1"/>
                <w:lang w:val="ro-MD"/>
              </w:rPr>
              <w:t xml:space="preserve"> ar fi realizat direct </w:t>
            </w:r>
            <w:proofErr w:type="spellStart"/>
            <w:r w:rsidRPr="004D6136">
              <w:rPr>
                <w:rFonts w:ascii="Times New Roman" w:hAnsi="Times New Roman" w:cs="Times New Roman"/>
                <w:bCs/>
                <w:color w:val="000000" w:themeColor="text1"/>
                <w:lang w:val="ro-MD"/>
              </w:rPr>
              <w:t>tranzacţia</w:t>
            </w:r>
            <w:proofErr w:type="spellEnd"/>
            <w:r w:rsidRPr="004D6136">
              <w:rPr>
                <w:rFonts w:ascii="Times New Roman" w:hAnsi="Times New Roman" w:cs="Times New Roman"/>
                <w:bCs/>
                <w:color w:val="000000" w:themeColor="text1"/>
                <w:lang w:val="ro-MD"/>
              </w:rPr>
              <w:t xml:space="preserve"> cu clientul, inclusiv în ceea ce privește primirea sau furnizarea marjei de </w:t>
            </w:r>
            <w:proofErr w:type="spellStart"/>
            <w:r w:rsidRPr="004D6136">
              <w:rPr>
                <w:rFonts w:ascii="Times New Roman" w:hAnsi="Times New Roman" w:cs="Times New Roman"/>
                <w:bCs/>
                <w:color w:val="000000" w:themeColor="text1"/>
                <w:lang w:val="ro-MD"/>
              </w:rPr>
              <w:t>variaţie</w:t>
            </w:r>
            <w:proofErr w:type="spellEnd"/>
            <w:r w:rsidRPr="004D6136">
              <w:rPr>
                <w:rFonts w:ascii="Times New Roman" w:hAnsi="Times New Roman" w:cs="Times New Roman"/>
                <w:bCs/>
                <w:color w:val="000000" w:themeColor="text1"/>
                <w:lang w:val="ro-MD"/>
              </w:rPr>
              <w:t xml:space="preserve"> în numerar.</w:t>
            </w:r>
          </w:p>
          <w:p w14:paraId="03291930" w14:textId="7234F758"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Tratamentul prevăzut la primul paragraf litera (b) se aplică, de asemenea, unei </w:t>
            </w:r>
            <w:proofErr w:type="spellStart"/>
            <w:r w:rsidRPr="004D6136">
              <w:rPr>
                <w:rFonts w:ascii="Times New Roman" w:hAnsi="Times New Roman" w:cs="Times New Roman"/>
                <w:bCs/>
                <w:color w:val="000000" w:themeColor="text1"/>
                <w:lang w:val="ro-MD"/>
              </w:rPr>
              <w:t>instituţii</w:t>
            </w:r>
            <w:proofErr w:type="spellEnd"/>
            <w:r w:rsidRPr="004D6136">
              <w:rPr>
                <w:rFonts w:ascii="Times New Roman" w:hAnsi="Times New Roman" w:cs="Times New Roman"/>
                <w:bCs/>
                <w:color w:val="000000" w:themeColor="text1"/>
                <w:lang w:val="ro-MD"/>
              </w:rPr>
              <w:t xml:space="preserve"> care </w:t>
            </w:r>
            <w:proofErr w:type="spellStart"/>
            <w:r w:rsidRPr="004D6136">
              <w:rPr>
                <w:rFonts w:ascii="Times New Roman" w:hAnsi="Times New Roman" w:cs="Times New Roman"/>
                <w:bCs/>
                <w:color w:val="000000" w:themeColor="text1"/>
                <w:lang w:val="ro-MD"/>
              </w:rPr>
              <w:t>acţionează</w:t>
            </w:r>
            <w:proofErr w:type="spellEnd"/>
            <w:r w:rsidRPr="004D6136">
              <w:rPr>
                <w:rFonts w:ascii="Times New Roman" w:hAnsi="Times New Roman" w:cs="Times New Roman"/>
                <w:bCs/>
                <w:color w:val="000000" w:themeColor="text1"/>
                <w:lang w:val="ro-MD"/>
              </w:rPr>
              <w:t xml:space="preserve"> drept client de nivel superior care garantează </w:t>
            </w:r>
            <w:proofErr w:type="spellStart"/>
            <w:r w:rsidRPr="004D6136">
              <w:rPr>
                <w:rFonts w:ascii="Times New Roman" w:hAnsi="Times New Roman" w:cs="Times New Roman"/>
                <w:bCs/>
                <w:color w:val="000000" w:themeColor="text1"/>
                <w:lang w:val="ro-MD"/>
              </w:rPr>
              <w:t>performanţa</w:t>
            </w:r>
            <w:proofErr w:type="spellEnd"/>
            <w:r w:rsidRPr="004D6136">
              <w:rPr>
                <w:rFonts w:ascii="Times New Roman" w:hAnsi="Times New Roman" w:cs="Times New Roman"/>
                <w:bCs/>
                <w:color w:val="000000" w:themeColor="text1"/>
                <w:lang w:val="ro-MD"/>
              </w:rPr>
              <w:t xml:space="preserve"> expunerilor din </w:t>
            </w:r>
            <w:proofErr w:type="spellStart"/>
            <w:r w:rsidRPr="004D6136">
              <w:rPr>
                <w:rFonts w:ascii="Times New Roman" w:hAnsi="Times New Roman" w:cs="Times New Roman"/>
                <w:bCs/>
                <w:color w:val="000000" w:themeColor="text1"/>
                <w:lang w:val="ro-MD"/>
              </w:rPr>
              <w:t>tranzacţii</w:t>
            </w:r>
            <w:proofErr w:type="spellEnd"/>
            <w:r w:rsidRPr="004D6136">
              <w:rPr>
                <w:rFonts w:ascii="Times New Roman" w:hAnsi="Times New Roman" w:cs="Times New Roman"/>
                <w:bCs/>
                <w:color w:val="000000" w:themeColor="text1"/>
                <w:lang w:val="ro-MD"/>
              </w:rPr>
              <w:t xml:space="preserve"> ale clientului său.</w:t>
            </w:r>
          </w:p>
          <w:p w14:paraId="225FA7EB" w14:textId="77777777" w:rsidR="00951D3F" w:rsidRPr="004D6136" w:rsidRDefault="00951D3F" w:rsidP="00951D3F">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
                <w:color w:val="000000" w:themeColor="text1"/>
                <w:lang w:val="ro-MD"/>
              </w:rPr>
              <w:t>▼M17</w:t>
            </w:r>
          </w:p>
          <w:p w14:paraId="37559315" w14:textId="697771F2"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În sensul primului paragraf litera (b) și al celui de al doilea paragraf de la prezentul alineat, </w:t>
            </w:r>
            <w:proofErr w:type="spellStart"/>
            <w:r w:rsidRPr="004D6136">
              <w:rPr>
                <w:rFonts w:ascii="Times New Roman" w:hAnsi="Times New Roman" w:cs="Times New Roman"/>
                <w:bCs/>
                <w:color w:val="000000" w:themeColor="text1"/>
                <w:lang w:val="ro-MD"/>
              </w:rPr>
              <w:t>instituţiile</w:t>
            </w:r>
            <w:proofErr w:type="spellEnd"/>
            <w:r w:rsidRPr="004D6136">
              <w:rPr>
                <w:rFonts w:ascii="Times New Roman" w:hAnsi="Times New Roman" w:cs="Times New Roman"/>
                <w:bCs/>
                <w:color w:val="000000" w:themeColor="text1"/>
                <w:lang w:val="ro-MD"/>
              </w:rPr>
              <w:t xml:space="preserve"> pot considera drept client o entitate afiliată numai în cazul în care entitatea respectivă nu intră în perimetrul de consolidare reglementat la nivelul la care se aplică </w:t>
            </w:r>
            <w:proofErr w:type="spellStart"/>
            <w:r w:rsidRPr="004D6136">
              <w:rPr>
                <w:rFonts w:ascii="Times New Roman" w:hAnsi="Times New Roman" w:cs="Times New Roman"/>
                <w:bCs/>
                <w:color w:val="000000" w:themeColor="text1"/>
                <w:lang w:val="ro-MD"/>
              </w:rPr>
              <w:t>cerinţa</w:t>
            </w:r>
            <w:proofErr w:type="spellEnd"/>
            <w:r w:rsidRPr="004D6136">
              <w:rPr>
                <w:rFonts w:ascii="Times New Roman" w:hAnsi="Times New Roman" w:cs="Times New Roman"/>
                <w:bCs/>
                <w:color w:val="000000" w:themeColor="text1"/>
                <w:lang w:val="ro-MD"/>
              </w:rPr>
              <w:t xml:space="preserve"> prevăzută la articolul 92  alineatul (4) litera (e).</w:t>
            </w:r>
          </w:p>
        </w:tc>
        <w:tc>
          <w:tcPr>
            <w:tcW w:w="1557" w:type="pct"/>
            <w:shd w:val="clear" w:color="auto" w:fill="auto"/>
          </w:tcPr>
          <w:p w14:paraId="243B3FDC" w14:textId="14DC6217" w:rsidR="00951D3F" w:rsidRPr="004D6136" w:rsidRDefault="001461D3"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12.</w:t>
            </w:r>
            <w:r w:rsidR="00951D3F" w:rsidRPr="004D6136">
              <w:rPr>
                <w:rFonts w:ascii="Times New Roman" w:hAnsi="Times New Roman" w:cs="Times New Roman"/>
                <w:bCs/>
                <w:color w:val="000000" w:themeColor="text1"/>
                <w:lang w:val="ro-MD"/>
              </w:rPr>
              <w:t xml:space="preserve"> Prin derogare de la </w:t>
            </w:r>
            <w:r w:rsidR="00065E0E" w:rsidRPr="004D6136">
              <w:rPr>
                <w:rFonts w:ascii="Times New Roman" w:hAnsi="Times New Roman" w:cs="Times New Roman"/>
                <w:bCs/>
                <w:color w:val="000000" w:themeColor="text1"/>
                <w:lang w:val="ro-MD"/>
              </w:rPr>
              <w:t>pct.9.4</w:t>
            </w:r>
            <w:r w:rsidR="00951D3F" w:rsidRPr="004D6136">
              <w:rPr>
                <w:rFonts w:ascii="Times New Roman" w:hAnsi="Times New Roman" w:cs="Times New Roman"/>
                <w:bCs/>
                <w:color w:val="000000" w:themeColor="text1"/>
                <w:lang w:val="ro-MD"/>
              </w:rPr>
              <w:t xml:space="preserve">, se aplică următoarele </w:t>
            </w:r>
            <w:proofErr w:type="spellStart"/>
            <w:r w:rsidR="00951D3F" w:rsidRPr="004D6136">
              <w:rPr>
                <w:rFonts w:ascii="Times New Roman" w:hAnsi="Times New Roman" w:cs="Times New Roman"/>
                <w:bCs/>
                <w:color w:val="000000" w:themeColor="text1"/>
                <w:lang w:val="ro-MD"/>
              </w:rPr>
              <w:t>dispoziţii</w:t>
            </w:r>
            <w:proofErr w:type="spellEnd"/>
            <w:r w:rsidR="00951D3F" w:rsidRPr="004D6136">
              <w:rPr>
                <w:rFonts w:ascii="Times New Roman" w:hAnsi="Times New Roman" w:cs="Times New Roman"/>
                <w:bCs/>
                <w:color w:val="000000" w:themeColor="text1"/>
                <w:lang w:val="ro-MD"/>
              </w:rPr>
              <w:t>:</w:t>
            </w:r>
          </w:p>
          <w:p w14:paraId="74925FE9" w14:textId="6E23F795" w:rsidR="00951D3F" w:rsidRPr="004D6136" w:rsidRDefault="00000EFD"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12.1.</w:t>
            </w:r>
            <w:r w:rsidR="00951D3F" w:rsidRPr="004D6136">
              <w:rPr>
                <w:rFonts w:ascii="Times New Roman" w:hAnsi="Times New Roman" w:cs="Times New Roman"/>
                <w:bCs/>
                <w:color w:val="000000" w:themeColor="text1"/>
                <w:lang w:val="ro-MD"/>
              </w:rPr>
              <w:t xml:space="preserve"> un element </w:t>
            </w:r>
            <w:proofErr w:type="spellStart"/>
            <w:r w:rsidR="00951D3F" w:rsidRPr="004D6136">
              <w:rPr>
                <w:rFonts w:ascii="Times New Roman" w:hAnsi="Times New Roman" w:cs="Times New Roman"/>
                <w:bCs/>
                <w:color w:val="000000" w:themeColor="text1"/>
                <w:lang w:val="ro-MD"/>
              </w:rPr>
              <w:t>extrabilanţier</w:t>
            </w:r>
            <w:proofErr w:type="spellEnd"/>
            <w:r w:rsidR="00951D3F" w:rsidRPr="004D6136">
              <w:rPr>
                <w:rFonts w:ascii="Times New Roman" w:hAnsi="Times New Roman" w:cs="Times New Roman"/>
                <w:bCs/>
                <w:color w:val="000000" w:themeColor="text1"/>
                <w:lang w:val="ro-MD"/>
              </w:rPr>
              <w:t xml:space="preserve"> în conformitate cu </w:t>
            </w:r>
            <w:r w:rsidR="001461D3" w:rsidRPr="004D6136">
              <w:rPr>
                <w:rFonts w:ascii="Times New Roman" w:hAnsi="Times New Roman" w:cs="Times New Roman"/>
                <w:bCs/>
                <w:color w:val="000000" w:themeColor="text1"/>
                <w:lang w:val="ro-MD"/>
              </w:rPr>
              <w:t xml:space="preserve">subpct.9.4 </w:t>
            </w:r>
            <w:r w:rsidR="00951D3F" w:rsidRPr="004D6136">
              <w:rPr>
                <w:rFonts w:ascii="Times New Roman" w:hAnsi="Times New Roman" w:cs="Times New Roman"/>
                <w:bCs/>
                <w:color w:val="000000" w:themeColor="text1"/>
                <w:lang w:val="ro-MD"/>
              </w:rPr>
              <w:t xml:space="preserve">care este tratat ca un instrument financiar derivat în conformitate cu cadrul contabil aplicabil face obiectul tratamentului prevăzut la </w:t>
            </w:r>
            <w:r w:rsidRPr="004D6136">
              <w:rPr>
                <w:rFonts w:ascii="Times New Roman" w:hAnsi="Times New Roman" w:cs="Times New Roman"/>
                <w:bCs/>
                <w:color w:val="000000" w:themeColor="text1"/>
                <w:lang w:val="ro-MD"/>
              </w:rPr>
              <w:t>subpc.9.2</w:t>
            </w:r>
            <w:r w:rsidR="00951D3F" w:rsidRPr="004D6136">
              <w:rPr>
                <w:rFonts w:ascii="Times New Roman" w:hAnsi="Times New Roman" w:cs="Times New Roman"/>
                <w:bCs/>
                <w:color w:val="000000" w:themeColor="text1"/>
                <w:lang w:val="ro-MD"/>
              </w:rPr>
              <w:t>;</w:t>
            </w:r>
          </w:p>
          <w:p w14:paraId="10836E08" w14:textId="7A590DDC" w:rsidR="00951D3F" w:rsidRPr="004D6136" w:rsidRDefault="00000EFD"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12.2.</w:t>
            </w:r>
            <w:r w:rsidR="00951D3F" w:rsidRPr="004D6136">
              <w:rPr>
                <w:rFonts w:ascii="Times New Roman" w:hAnsi="Times New Roman" w:cs="Times New Roman"/>
                <w:bCs/>
                <w:color w:val="000000" w:themeColor="text1"/>
                <w:lang w:val="ro-MD"/>
              </w:rPr>
              <w:t xml:space="preserve"> în cazul în care un client al unei </w:t>
            </w:r>
            <w:r w:rsidRPr="004D6136">
              <w:rPr>
                <w:rFonts w:ascii="Times New Roman" w:hAnsi="Times New Roman" w:cs="Times New Roman"/>
                <w:bCs/>
                <w:color w:val="000000" w:themeColor="text1"/>
                <w:lang w:val="ro-MD"/>
              </w:rPr>
              <w:t xml:space="preserve">bănci </w:t>
            </w:r>
            <w:r w:rsidR="00951D3F" w:rsidRPr="004D6136">
              <w:rPr>
                <w:rFonts w:ascii="Times New Roman" w:hAnsi="Times New Roman" w:cs="Times New Roman"/>
                <w:bCs/>
                <w:color w:val="000000" w:themeColor="text1"/>
                <w:lang w:val="ro-MD"/>
              </w:rPr>
              <w:t xml:space="preserve">care </w:t>
            </w:r>
            <w:proofErr w:type="spellStart"/>
            <w:r w:rsidR="00951D3F" w:rsidRPr="004D6136">
              <w:rPr>
                <w:rFonts w:ascii="Times New Roman" w:hAnsi="Times New Roman" w:cs="Times New Roman"/>
                <w:bCs/>
                <w:color w:val="000000" w:themeColor="text1"/>
                <w:lang w:val="ro-MD"/>
              </w:rPr>
              <w:t>acţionează</w:t>
            </w:r>
            <w:proofErr w:type="spellEnd"/>
            <w:r w:rsidR="00951D3F" w:rsidRPr="004D6136">
              <w:rPr>
                <w:rFonts w:ascii="Times New Roman" w:hAnsi="Times New Roman" w:cs="Times New Roman"/>
                <w:bCs/>
                <w:color w:val="000000" w:themeColor="text1"/>
                <w:lang w:val="ro-MD"/>
              </w:rPr>
              <w:t xml:space="preserve"> ca membru compensator realizează direct o </w:t>
            </w:r>
            <w:proofErr w:type="spellStart"/>
            <w:r w:rsidR="00951D3F" w:rsidRPr="004D6136">
              <w:rPr>
                <w:rFonts w:ascii="Times New Roman" w:hAnsi="Times New Roman" w:cs="Times New Roman"/>
                <w:bCs/>
                <w:color w:val="000000" w:themeColor="text1"/>
                <w:lang w:val="ro-MD"/>
              </w:rPr>
              <w:t>tranzacţie</w:t>
            </w:r>
            <w:proofErr w:type="spellEnd"/>
            <w:r w:rsidR="00951D3F" w:rsidRPr="004D6136">
              <w:rPr>
                <w:rFonts w:ascii="Times New Roman" w:hAnsi="Times New Roman" w:cs="Times New Roman"/>
                <w:bCs/>
                <w:color w:val="000000" w:themeColor="text1"/>
                <w:lang w:val="ro-MD"/>
              </w:rPr>
              <w:t xml:space="preserve"> cu instrumente financiare derivate cu o </w:t>
            </w:r>
            <w:proofErr w:type="spellStart"/>
            <w:r w:rsidR="006D2495" w:rsidRPr="004D6136">
              <w:rPr>
                <w:rFonts w:ascii="Times New Roman" w:hAnsi="Times New Roman" w:cs="Times New Roman"/>
                <w:bCs/>
                <w:color w:val="000000" w:themeColor="text1"/>
                <w:lang w:val="ro-MD"/>
              </w:rPr>
              <w:t>contraparte</w:t>
            </w:r>
            <w:proofErr w:type="spellEnd"/>
            <w:r w:rsidR="006D2495" w:rsidRPr="004D6136">
              <w:rPr>
                <w:rFonts w:ascii="Times New Roman" w:hAnsi="Times New Roman" w:cs="Times New Roman"/>
                <w:bCs/>
                <w:color w:val="000000" w:themeColor="text1"/>
                <w:lang w:val="ro-MD"/>
              </w:rPr>
              <w:t xml:space="preserve"> centrală (în continuare – </w:t>
            </w:r>
            <w:r w:rsidR="00951D3F" w:rsidRPr="004D6136">
              <w:rPr>
                <w:rFonts w:ascii="Times New Roman" w:hAnsi="Times New Roman" w:cs="Times New Roman"/>
                <w:bCs/>
                <w:color w:val="000000" w:themeColor="text1"/>
                <w:lang w:val="ro-MD"/>
              </w:rPr>
              <w:t>CPC</w:t>
            </w:r>
            <w:r w:rsidR="006D2495" w:rsidRPr="004D6136">
              <w:rPr>
                <w:rFonts w:ascii="Times New Roman" w:hAnsi="Times New Roman" w:cs="Times New Roman"/>
                <w:bCs/>
                <w:color w:val="000000" w:themeColor="text1"/>
                <w:lang w:val="ro-MD"/>
              </w:rPr>
              <w:t>)</w:t>
            </w:r>
            <w:r w:rsidR="00951D3F" w:rsidRPr="004D6136">
              <w:rPr>
                <w:rFonts w:ascii="Times New Roman" w:hAnsi="Times New Roman" w:cs="Times New Roman"/>
                <w:bCs/>
                <w:color w:val="000000" w:themeColor="text1"/>
                <w:lang w:val="ro-MD"/>
              </w:rPr>
              <w:t xml:space="preserve"> iar </w:t>
            </w:r>
            <w:r w:rsidRPr="004D6136">
              <w:rPr>
                <w:rFonts w:ascii="Times New Roman" w:hAnsi="Times New Roman" w:cs="Times New Roman"/>
                <w:bCs/>
                <w:color w:val="000000" w:themeColor="text1"/>
                <w:lang w:val="ro-MD"/>
              </w:rPr>
              <w:t xml:space="preserve">banca </w:t>
            </w:r>
            <w:r w:rsidR="00951D3F" w:rsidRPr="004D6136">
              <w:rPr>
                <w:rFonts w:ascii="Times New Roman" w:hAnsi="Times New Roman" w:cs="Times New Roman"/>
                <w:bCs/>
                <w:color w:val="000000" w:themeColor="text1"/>
                <w:lang w:val="ro-MD"/>
              </w:rPr>
              <w:lastRenderedPageBreak/>
              <w:t xml:space="preserve">garantează </w:t>
            </w:r>
            <w:proofErr w:type="spellStart"/>
            <w:r w:rsidR="00951D3F" w:rsidRPr="004D6136">
              <w:rPr>
                <w:rFonts w:ascii="Times New Roman" w:hAnsi="Times New Roman" w:cs="Times New Roman"/>
                <w:bCs/>
                <w:color w:val="000000" w:themeColor="text1"/>
                <w:lang w:val="ro-MD"/>
              </w:rPr>
              <w:t>performanţa</w:t>
            </w:r>
            <w:proofErr w:type="spellEnd"/>
            <w:r w:rsidR="00951D3F" w:rsidRPr="004D6136">
              <w:rPr>
                <w:rFonts w:ascii="Times New Roman" w:hAnsi="Times New Roman" w:cs="Times New Roman"/>
                <w:bCs/>
                <w:color w:val="000000" w:themeColor="text1"/>
                <w:lang w:val="ro-MD"/>
              </w:rPr>
              <w:t xml:space="preserve"> expunerilor din </w:t>
            </w:r>
            <w:proofErr w:type="spellStart"/>
            <w:r w:rsidR="00951D3F" w:rsidRPr="004D6136">
              <w:rPr>
                <w:rFonts w:ascii="Times New Roman" w:hAnsi="Times New Roman" w:cs="Times New Roman"/>
                <w:bCs/>
                <w:color w:val="000000" w:themeColor="text1"/>
                <w:lang w:val="ro-MD"/>
              </w:rPr>
              <w:t>tranzacţii</w:t>
            </w:r>
            <w:proofErr w:type="spellEnd"/>
            <w:r w:rsidR="00951D3F" w:rsidRPr="004D6136">
              <w:rPr>
                <w:rFonts w:ascii="Times New Roman" w:hAnsi="Times New Roman" w:cs="Times New Roman"/>
                <w:bCs/>
                <w:color w:val="000000" w:themeColor="text1"/>
                <w:lang w:val="ro-MD"/>
              </w:rPr>
              <w:t xml:space="preserve"> </w:t>
            </w:r>
            <w:proofErr w:type="spellStart"/>
            <w:r w:rsidR="00951D3F" w:rsidRPr="004D6136">
              <w:rPr>
                <w:rFonts w:ascii="Times New Roman" w:hAnsi="Times New Roman" w:cs="Times New Roman"/>
                <w:bCs/>
                <w:color w:val="000000" w:themeColor="text1"/>
                <w:lang w:val="ro-MD"/>
              </w:rPr>
              <w:t>faţă</w:t>
            </w:r>
            <w:proofErr w:type="spellEnd"/>
            <w:r w:rsidR="00951D3F" w:rsidRPr="004D6136">
              <w:rPr>
                <w:rFonts w:ascii="Times New Roman" w:hAnsi="Times New Roman" w:cs="Times New Roman"/>
                <w:bCs/>
                <w:color w:val="000000" w:themeColor="text1"/>
                <w:lang w:val="ro-MD"/>
              </w:rPr>
              <w:t xml:space="preserve"> de CPC ale clientului său care decurg din această </w:t>
            </w:r>
            <w:proofErr w:type="spellStart"/>
            <w:r w:rsidR="00951D3F" w:rsidRPr="004D6136">
              <w:rPr>
                <w:rFonts w:ascii="Times New Roman" w:hAnsi="Times New Roman" w:cs="Times New Roman"/>
                <w:bCs/>
                <w:color w:val="000000" w:themeColor="text1"/>
                <w:lang w:val="ro-MD"/>
              </w:rPr>
              <w:t>tranzacţie</w:t>
            </w:r>
            <w:proofErr w:type="spellEnd"/>
            <w:r w:rsidR="00951D3F" w:rsidRPr="004D6136">
              <w:rPr>
                <w:rFonts w:ascii="Times New Roman" w:hAnsi="Times New Roman" w:cs="Times New Roman"/>
                <w:bCs/>
                <w:color w:val="000000" w:themeColor="text1"/>
                <w:lang w:val="ro-MD"/>
              </w:rPr>
              <w:t xml:space="preserve">, </w:t>
            </w:r>
            <w:r w:rsidRPr="004D6136">
              <w:rPr>
                <w:rFonts w:ascii="Times New Roman" w:hAnsi="Times New Roman" w:cs="Times New Roman"/>
                <w:bCs/>
                <w:color w:val="000000" w:themeColor="text1"/>
                <w:lang w:val="ro-MD"/>
              </w:rPr>
              <w:t xml:space="preserve">banca </w:t>
            </w:r>
            <w:r w:rsidR="00951D3F" w:rsidRPr="004D6136">
              <w:rPr>
                <w:rFonts w:ascii="Times New Roman" w:hAnsi="Times New Roman" w:cs="Times New Roman"/>
                <w:bCs/>
                <w:color w:val="000000" w:themeColor="text1"/>
                <w:lang w:val="ro-MD"/>
              </w:rPr>
              <w:t xml:space="preserve">își calculează expunerea care rezultă din </w:t>
            </w:r>
            <w:proofErr w:type="spellStart"/>
            <w:r w:rsidR="00951D3F" w:rsidRPr="004D6136">
              <w:rPr>
                <w:rFonts w:ascii="Times New Roman" w:hAnsi="Times New Roman" w:cs="Times New Roman"/>
                <w:bCs/>
                <w:color w:val="000000" w:themeColor="text1"/>
                <w:lang w:val="ro-MD"/>
              </w:rPr>
              <w:t>garanţie</w:t>
            </w:r>
            <w:proofErr w:type="spellEnd"/>
            <w:r w:rsidR="00951D3F" w:rsidRPr="004D6136">
              <w:rPr>
                <w:rFonts w:ascii="Times New Roman" w:hAnsi="Times New Roman" w:cs="Times New Roman"/>
                <w:bCs/>
                <w:color w:val="000000" w:themeColor="text1"/>
                <w:lang w:val="ro-MD"/>
              </w:rPr>
              <w:t xml:space="preserve"> în conformitate cu </w:t>
            </w:r>
            <w:r w:rsidRPr="004D6136">
              <w:rPr>
                <w:rFonts w:ascii="Times New Roman" w:hAnsi="Times New Roman" w:cs="Times New Roman"/>
                <w:bCs/>
                <w:color w:val="000000" w:themeColor="text1"/>
                <w:lang w:val="ro-MD"/>
              </w:rPr>
              <w:t xml:space="preserve">subpct.9.2 </w:t>
            </w:r>
            <w:r w:rsidR="00951D3F" w:rsidRPr="004D6136">
              <w:rPr>
                <w:rFonts w:ascii="Times New Roman" w:hAnsi="Times New Roman" w:cs="Times New Roman"/>
                <w:bCs/>
                <w:color w:val="000000" w:themeColor="text1"/>
                <w:lang w:val="ro-MD"/>
              </w:rPr>
              <w:t xml:space="preserve"> ca și cum acea </w:t>
            </w:r>
            <w:r w:rsidRPr="004D6136">
              <w:rPr>
                <w:rFonts w:ascii="Times New Roman" w:hAnsi="Times New Roman" w:cs="Times New Roman"/>
                <w:bCs/>
                <w:color w:val="000000" w:themeColor="text1"/>
                <w:lang w:val="ro-MD"/>
              </w:rPr>
              <w:t xml:space="preserve">bancă </w:t>
            </w:r>
            <w:r w:rsidR="00951D3F" w:rsidRPr="004D6136">
              <w:rPr>
                <w:rFonts w:ascii="Times New Roman" w:hAnsi="Times New Roman" w:cs="Times New Roman"/>
                <w:bCs/>
                <w:color w:val="000000" w:themeColor="text1"/>
                <w:lang w:val="ro-MD"/>
              </w:rPr>
              <w:t xml:space="preserve">ar fi realizat direct </w:t>
            </w:r>
            <w:proofErr w:type="spellStart"/>
            <w:r w:rsidR="00951D3F" w:rsidRPr="004D6136">
              <w:rPr>
                <w:rFonts w:ascii="Times New Roman" w:hAnsi="Times New Roman" w:cs="Times New Roman"/>
                <w:bCs/>
                <w:color w:val="000000" w:themeColor="text1"/>
                <w:lang w:val="ro-MD"/>
              </w:rPr>
              <w:t>tranzacţia</w:t>
            </w:r>
            <w:proofErr w:type="spellEnd"/>
            <w:r w:rsidR="00951D3F" w:rsidRPr="004D6136">
              <w:rPr>
                <w:rFonts w:ascii="Times New Roman" w:hAnsi="Times New Roman" w:cs="Times New Roman"/>
                <w:bCs/>
                <w:color w:val="000000" w:themeColor="text1"/>
                <w:lang w:val="ro-MD"/>
              </w:rPr>
              <w:t xml:space="preserve"> cu clientul, inclusiv în ceea ce privește primirea sau furnizarea marjei de </w:t>
            </w:r>
            <w:proofErr w:type="spellStart"/>
            <w:r w:rsidR="00951D3F" w:rsidRPr="004D6136">
              <w:rPr>
                <w:rFonts w:ascii="Times New Roman" w:hAnsi="Times New Roman" w:cs="Times New Roman"/>
                <w:bCs/>
                <w:color w:val="000000" w:themeColor="text1"/>
                <w:lang w:val="ro-MD"/>
              </w:rPr>
              <w:t>variaţie</w:t>
            </w:r>
            <w:proofErr w:type="spellEnd"/>
            <w:r w:rsidR="00951D3F" w:rsidRPr="004D6136">
              <w:rPr>
                <w:rFonts w:ascii="Times New Roman" w:hAnsi="Times New Roman" w:cs="Times New Roman"/>
                <w:bCs/>
                <w:color w:val="000000" w:themeColor="text1"/>
                <w:lang w:val="ro-MD"/>
              </w:rPr>
              <w:t xml:space="preserve"> în numerar.</w:t>
            </w:r>
          </w:p>
          <w:p w14:paraId="1D20D7D0" w14:textId="434DE264" w:rsidR="00951D3F" w:rsidRPr="004D6136" w:rsidRDefault="00000EFD"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13. </w:t>
            </w:r>
            <w:r w:rsidR="00951D3F" w:rsidRPr="004D6136">
              <w:rPr>
                <w:rFonts w:ascii="Times New Roman" w:hAnsi="Times New Roman" w:cs="Times New Roman"/>
                <w:bCs/>
                <w:color w:val="000000" w:themeColor="text1"/>
                <w:lang w:val="ro-MD"/>
              </w:rPr>
              <w:t xml:space="preserve">Tratamentul prevăzut la </w:t>
            </w:r>
            <w:r w:rsidRPr="004D6136">
              <w:rPr>
                <w:rFonts w:ascii="Times New Roman" w:hAnsi="Times New Roman" w:cs="Times New Roman"/>
                <w:bCs/>
                <w:color w:val="000000" w:themeColor="text1"/>
                <w:lang w:val="ro-MD"/>
              </w:rPr>
              <w:t xml:space="preserve">subpct.12.2 </w:t>
            </w:r>
            <w:r w:rsidR="00951D3F" w:rsidRPr="004D6136">
              <w:rPr>
                <w:rFonts w:ascii="Times New Roman" w:hAnsi="Times New Roman" w:cs="Times New Roman"/>
                <w:bCs/>
                <w:color w:val="000000" w:themeColor="text1"/>
                <w:lang w:val="ro-MD"/>
              </w:rPr>
              <w:t xml:space="preserve"> se aplică, de asemenea, unei </w:t>
            </w:r>
            <w:r w:rsidRPr="004D6136">
              <w:rPr>
                <w:rFonts w:ascii="Times New Roman" w:hAnsi="Times New Roman" w:cs="Times New Roman"/>
                <w:bCs/>
                <w:color w:val="000000" w:themeColor="text1"/>
                <w:lang w:val="ro-MD"/>
              </w:rPr>
              <w:t xml:space="preserve">bănci </w:t>
            </w:r>
            <w:r w:rsidR="00951D3F" w:rsidRPr="004D6136">
              <w:rPr>
                <w:rFonts w:ascii="Times New Roman" w:hAnsi="Times New Roman" w:cs="Times New Roman"/>
                <w:bCs/>
                <w:color w:val="000000" w:themeColor="text1"/>
                <w:lang w:val="ro-MD"/>
              </w:rPr>
              <w:t xml:space="preserve">care </w:t>
            </w:r>
            <w:proofErr w:type="spellStart"/>
            <w:r w:rsidR="00951D3F" w:rsidRPr="004D6136">
              <w:rPr>
                <w:rFonts w:ascii="Times New Roman" w:hAnsi="Times New Roman" w:cs="Times New Roman"/>
                <w:bCs/>
                <w:color w:val="000000" w:themeColor="text1"/>
                <w:lang w:val="ro-MD"/>
              </w:rPr>
              <w:t>acţionează</w:t>
            </w:r>
            <w:proofErr w:type="spellEnd"/>
            <w:r w:rsidR="00951D3F" w:rsidRPr="004D6136">
              <w:rPr>
                <w:rFonts w:ascii="Times New Roman" w:hAnsi="Times New Roman" w:cs="Times New Roman"/>
                <w:bCs/>
                <w:color w:val="000000" w:themeColor="text1"/>
                <w:lang w:val="ro-MD"/>
              </w:rPr>
              <w:t xml:space="preserve"> drept client de nivel superior care garantează </w:t>
            </w:r>
            <w:proofErr w:type="spellStart"/>
            <w:r w:rsidR="00951D3F" w:rsidRPr="004D6136">
              <w:rPr>
                <w:rFonts w:ascii="Times New Roman" w:hAnsi="Times New Roman" w:cs="Times New Roman"/>
                <w:bCs/>
                <w:color w:val="000000" w:themeColor="text1"/>
                <w:lang w:val="ro-MD"/>
              </w:rPr>
              <w:t>performanţa</w:t>
            </w:r>
            <w:proofErr w:type="spellEnd"/>
            <w:r w:rsidR="00951D3F" w:rsidRPr="004D6136">
              <w:rPr>
                <w:rFonts w:ascii="Times New Roman" w:hAnsi="Times New Roman" w:cs="Times New Roman"/>
                <w:bCs/>
                <w:color w:val="000000" w:themeColor="text1"/>
                <w:lang w:val="ro-MD"/>
              </w:rPr>
              <w:t xml:space="preserve"> expunerilor din </w:t>
            </w:r>
            <w:proofErr w:type="spellStart"/>
            <w:r w:rsidR="00951D3F" w:rsidRPr="004D6136">
              <w:rPr>
                <w:rFonts w:ascii="Times New Roman" w:hAnsi="Times New Roman" w:cs="Times New Roman"/>
                <w:bCs/>
                <w:color w:val="000000" w:themeColor="text1"/>
                <w:lang w:val="ro-MD"/>
              </w:rPr>
              <w:t>tranzacţii</w:t>
            </w:r>
            <w:proofErr w:type="spellEnd"/>
            <w:r w:rsidR="00951D3F" w:rsidRPr="004D6136">
              <w:rPr>
                <w:rFonts w:ascii="Times New Roman" w:hAnsi="Times New Roman" w:cs="Times New Roman"/>
                <w:bCs/>
                <w:color w:val="000000" w:themeColor="text1"/>
                <w:lang w:val="ro-MD"/>
              </w:rPr>
              <w:t xml:space="preserve"> ale clientului său.</w:t>
            </w:r>
          </w:p>
          <w:p w14:paraId="68F85B3A" w14:textId="71EE8FC8" w:rsidR="00951D3F" w:rsidRPr="004D6136" w:rsidRDefault="00C70FEA"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14. </w:t>
            </w:r>
            <w:r w:rsidR="00951D3F" w:rsidRPr="004D6136">
              <w:rPr>
                <w:rFonts w:ascii="Times New Roman" w:hAnsi="Times New Roman" w:cs="Times New Roman"/>
                <w:bCs/>
                <w:color w:val="000000" w:themeColor="text1"/>
                <w:lang w:val="ro-MD"/>
              </w:rPr>
              <w:t xml:space="preserve">În sensul </w:t>
            </w:r>
            <w:r w:rsidRPr="004D6136">
              <w:rPr>
                <w:rFonts w:ascii="Times New Roman" w:hAnsi="Times New Roman" w:cs="Times New Roman"/>
                <w:bCs/>
                <w:color w:val="000000" w:themeColor="text1"/>
                <w:lang w:val="ro-MD"/>
              </w:rPr>
              <w:t xml:space="preserve">subpct.12.2 și pct.13, băncile </w:t>
            </w:r>
            <w:r w:rsidR="00951D3F" w:rsidRPr="004D6136">
              <w:rPr>
                <w:rFonts w:ascii="Times New Roman" w:hAnsi="Times New Roman" w:cs="Times New Roman"/>
                <w:bCs/>
                <w:color w:val="000000" w:themeColor="text1"/>
                <w:lang w:val="ro-MD"/>
              </w:rPr>
              <w:t xml:space="preserve">pot considera drept client o entitate afiliată numai în cazul în care entitatea respectivă nu intră în perimetrul de consolidare reglementat la nivelul la care se aplică </w:t>
            </w:r>
            <w:proofErr w:type="spellStart"/>
            <w:r w:rsidR="00951D3F" w:rsidRPr="004D6136">
              <w:rPr>
                <w:rFonts w:ascii="Times New Roman" w:hAnsi="Times New Roman" w:cs="Times New Roman"/>
                <w:bCs/>
                <w:color w:val="000000" w:themeColor="text1"/>
                <w:lang w:val="ro-MD"/>
              </w:rPr>
              <w:t>cerinţa</w:t>
            </w:r>
            <w:proofErr w:type="spellEnd"/>
            <w:r w:rsidR="00951D3F" w:rsidRPr="004D6136">
              <w:rPr>
                <w:rFonts w:ascii="Times New Roman" w:hAnsi="Times New Roman" w:cs="Times New Roman"/>
                <w:bCs/>
                <w:color w:val="000000" w:themeColor="text1"/>
                <w:lang w:val="ro-MD"/>
              </w:rPr>
              <w:t xml:space="preserve"> prevăzută la </w:t>
            </w:r>
            <w:bookmarkStart w:id="8" w:name="_Hlk191472698"/>
            <w:r w:rsidRPr="004D6136">
              <w:rPr>
                <w:rFonts w:ascii="Times New Roman" w:hAnsi="Times New Roman" w:cs="Times New Roman"/>
                <w:bCs/>
                <w:color w:val="000000" w:themeColor="text1"/>
                <w:lang w:val="ro-MD"/>
              </w:rPr>
              <w:t xml:space="preserve">pct.132 subpct.5) din Regulamentul </w:t>
            </w:r>
            <w:bookmarkStart w:id="9" w:name="_Hlk191472883"/>
            <w:r w:rsidRPr="004D6136">
              <w:rPr>
                <w:rFonts w:ascii="Times New Roman" w:hAnsi="Times New Roman" w:cs="Times New Roman"/>
                <w:bCs/>
                <w:color w:val="000000" w:themeColor="text1"/>
                <w:lang w:val="ro-MD"/>
              </w:rPr>
              <w:t xml:space="preserve">cu privire la fondurile proprii ale băncilor </w:t>
            </w:r>
            <w:proofErr w:type="spellStart"/>
            <w:r w:rsidRPr="004D6136">
              <w:rPr>
                <w:rFonts w:ascii="Times New Roman" w:hAnsi="Times New Roman" w:cs="Times New Roman"/>
                <w:bCs/>
                <w:color w:val="000000" w:themeColor="text1"/>
                <w:lang w:val="ro-MD"/>
              </w:rPr>
              <w:t>şi</w:t>
            </w:r>
            <w:proofErr w:type="spellEnd"/>
            <w:r w:rsidRPr="004D6136">
              <w:rPr>
                <w:rFonts w:ascii="Times New Roman" w:hAnsi="Times New Roman" w:cs="Times New Roman"/>
                <w:bCs/>
                <w:color w:val="000000" w:themeColor="text1"/>
                <w:lang w:val="ro-MD"/>
              </w:rPr>
              <w:t xml:space="preserve"> </w:t>
            </w:r>
            <w:proofErr w:type="spellStart"/>
            <w:r w:rsidRPr="004D6136">
              <w:rPr>
                <w:rFonts w:ascii="Times New Roman" w:hAnsi="Times New Roman" w:cs="Times New Roman"/>
                <w:bCs/>
                <w:color w:val="000000" w:themeColor="text1"/>
                <w:lang w:val="ro-MD"/>
              </w:rPr>
              <w:t>cerinţele</w:t>
            </w:r>
            <w:proofErr w:type="spellEnd"/>
            <w:r w:rsidRPr="004D6136">
              <w:rPr>
                <w:rFonts w:ascii="Times New Roman" w:hAnsi="Times New Roman" w:cs="Times New Roman"/>
                <w:bCs/>
                <w:color w:val="000000" w:themeColor="text1"/>
                <w:lang w:val="ro-MD"/>
              </w:rPr>
              <w:t xml:space="preserve"> de capital, aprobat prin Hotărârea Comitetului executiv al Băncii </w:t>
            </w:r>
            <w:proofErr w:type="spellStart"/>
            <w:r w:rsidRPr="004D6136">
              <w:rPr>
                <w:rFonts w:ascii="Times New Roman" w:hAnsi="Times New Roman" w:cs="Times New Roman"/>
                <w:bCs/>
                <w:color w:val="000000" w:themeColor="text1"/>
                <w:lang w:val="ro-MD"/>
              </w:rPr>
              <w:t>Naţionale</w:t>
            </w:r>
            <w:proofErr w:type="spellEnd"/>
            <w:r w:rsidRPr="004D6136">
              <w:rPr>
                <w:rFonts w:ascii="Times New Roman" w:hAnsi="Times New Roman" w:cs="Times New Roman"/>
                <w:bCs/>
                <w:color w:val="000000" w:themeColor="text1"/>
                <w:lang w:val="ro-MD"/>
              </w:rPr>
              <w:t xml:space="preserve"> a Moldovei nr.109/2018 (în continuare – Regulamentul nr.109/2018)</w:t>
            </w:r>
            <w:bookmarkEnd w:id="9"/>
            <w:r w:rsidRPr="004D6136">
              <w:rPr>
                <w:rFonts w:ascii="Times New Roman" w:hAnsi="Times New Roman" w:cs="Times New Roman"/>
                <w:bCs/>
                <w:color w:val="000000" w:themeColor="text1"/>
                <w:lang w:val="ro-MD"/>
              </w:rPr>
              <w:t>.</w:t>
            </w:r>
            <w:bookmarkEnd w:id="8"/>
          </w:p>
        </w:tc>
        <w:tc>
          <w:tcPr>
            <w:tcW w:w="585" w:type="pct"/>
          </w:tcPr>
          <w:p w14:paraId="1AD0AEAB" w14:textId="7F1932D2" w:rsidR="00951D3F" w:rsidRPr="004D6136" w:rsidRDefault="00C411D1" w:rsidP="00951D3F">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compatibil</w:t>
            </w:r>
          </w:p>
        </w:tc>
        <w:tc>
          <w:tcPr>
            <w:tcW w:w="1261" w:type="pct"/>
          </w:tcPr>
          <w:p w14:paraId="52C98D7E" w14:textId="0F016467" w:rsidR="00951D3F" w:rsidRPr="004D6136" w:rsidRDefault="00951D3F" w:rsidP="0017292A">
            <w:pPr>
              <w:spacing w:line="276" w:lineRule="auto"/>
              <w:jc w:val="both"/>
              <w:rPr>
                <w:rFonts w:ascii="Times New Roman" w:hAnsi="Times New Roman" w:cs="Times New Roman"/>
                <w:bCs/>
                <w:color w:val="000000" w:themeColor="text1"/>
                <w:lang w:val="ro-MD"/>
              </w:rPr>
            </w:pPr>
          </w:p>
        </w:tc>
      </w:tr>
      <w:bookmarkEnd w:id="7"/>
      <w:tr w:rsidR="00951D3F" w:rsidRPr="004D6136" w14:paraId="46858E5F" w14:textId="77777777" w:rsidTr="00FC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6C2A6D8E" w14:textId="77777777" w:rsidR="00951D3F" w:rsidRPr="004D6136" w:rsidRDefault="00951D3F" w:rsidP="00951D3F">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
                <w:color w:val="000000" w:themeColor="text1"/>
                <w:lang w:val="ro-MD"/>
              </w:rPr>
              <w:t>▼M17</w:t>
            </w:r>
          </w:p>
          <w:p w14:paraId="04EEF5C4" w14:textId="5C3AF7AB"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(6) În sensul prezentului articol alineatul (4) litera (e) și al articolului 429g, „</w:t>
            </w:r>
            <w:proofErr w:type="spellStart"/>
            <w:r w:rsidRPr="004D6136">
              <w:rPr>
                <w:rFonts w:ascii="Times New Roman" w:hAnsi="Times New Roman" w:cs="Times New Roman"/>
                <w:bCs/>
                <w:color w:val="000000" w:themeColor="text1"/>
                <w:lang w:val="ro-MD"/>
              </w:rPr>
              <w:t>achiziţie</w:t>
            </w:r>
            <w:proofErr w:type="spellEnd"/>
            <w:r w:rsidRPr="004D6136">
              <w:rPr>
                <w:rFonts w:ascii="Times New Roman" w:hAnsi="Times New Roman" w:cs="Times New Roman"/>
                <w:bCs/>
                <w:color w:val="000000" w:themeColor="text1"/>
                <w:lang w:val="ro-MD"/>
              </w:rPr>
              <w:t xml:space="preserve"> sau vânzare standard” </w:t>
            </w:r>
            <w:r w:rsidRPr="004D6136">
              <w:rPr>
                <w:rFonts w:ascii="Times New Roman" w:hAnsi="Times New Roman" w:cs="Times New Roman"/>
                <w:bCs/>
                <w:color w:val="000000" w:themeColor="text1"/>
                <w:lang w:val="ro-MD"/>
              </w:rPr>
              <w:lastRenderedPageBreak/>
              <w:t xml:space="preserve">înseamnă o </w:t>
            </w:r>
            <w:proofErr w:type="spellStart"/>
            <w:r w:rsidRPr="004D6136">
              <w:rPr>
                <w:rFonts w:ascii="Times New Roman" w:hAnsi="Times New Roman" w:cs="Times New Roman"/>
                <w:bCs/>
                <w:color w:val="000000" w:themeColor="text1"/>
                <w:lang w:val="ro-MD"/>
              </w:rPr>
              <w:t>achiziţie</w:t>
            </w:r>
            <w:proofErr w:type="spellEnd"/>
            <w:r w:rsidRPr="004D6136">
              <w:rPr>
                <w:rFonts w:ascii="Times New Roman" w:hAnsi="Times New Roman" w:cs="Times New Roman"/>
                <w:bCs/>
                <w:color w:val="000000" w:themeColor="text1"/>
                <w:lang w:val="ro-MD"/>
              </w:rPr>
              <w:t xml:space="preserve"> sau o vânzare a unui activ financiar în cadrul unor contracte ale căror clauze impun livrarea activului financiar</w:t>
            </w:r>
            <w:r w:rsidR="00C775E4" w:rsidRPr="004D6136">
              <w:rPr>
                <w:rFonts w:ascii="Times New Roman" w:hAnsi="Times New Roman" w:cs="Times New Roman"/>
                <w:bCs/>
                <w:color w:val="000000" w:themeColor="text1"/>
                <w:lang w:val="ro-MD"/>
              </w:rPr>
              <w:t xml:space="preserve"> </w:t>
            </w:r>
            <w:r w:rsidRPr="004D6136">
              <w:rPr>
                <w:rFonts w:ascii="Times New Roman" w:hAnsi="Times New Roman" w:cs="Times New Roman"/>
                <w:bCs/>
                <w:color w:val="000000" w:themeColor="text1"/>
                <w:lang w:val="ro-MD"/>
              </w:rPr>
              <w:t xml:space="preserve">în perioada stabilită în general prin lege sau prin </w:t>
            </w:r>
            <w:proofErr w:type="spellStart"/>
            <w:r w:rsidRPr="004D6136">
              <w:rPr>
                <w:rFonts w:ascii="Times New Roman" w:hAnsi="Times New Roman" w:cs="Times New Roman"/>
                <w:bCs/>
                <w:color w:val="000000" w:themeColor="text1"/>
                <w:lang w:val="ro-MD"/>
              </w:rPr>
              <w:t>convenţii</w:t>
            </w:r>
            <w:proofErr w:type="spellEnd"/>
            <w:r w:rsidRPr="004D6136">
              <w:rPr>
                <w:rFonts w:ascii="Times New Roman" w:hAnsi="Times New Roman" w:cs="Times New Roman"/>
                <w:bCs/>
                <w:color w:val="000000" w:themeColor="text1"/>
                <w:lang w:val="ro-MD"/>
              </w:rPr>
              <w:t xml:space="preserve"> pe </w:t>
            </w:r>
            <w:proofErr w:type="spellStart"/>
            <w:r w:rsidRPr="004D6136">
              <w:rPr>
                <w:rFonts w:ascii="Times New Roman" w:hAnsi="Times New Roman" w:cs="Times New Roman"/>
                <w:bCs/>
                <w:color w:val="000000" w:themeColor="text1"/>
                <w:lang w:val="ro-MD"/>
              </w:rPr>
              <w:t>piaţa</w:t>
            </w:r>
            <w:proofErr w:type="spellEnd"/>
            <w:r w:rsidRPr="004D6136">
              <w:rPr>
                <w:rFonts w:ascii="Times New Roman" w:hAnsi="Times New Roman" w:cs="Times New Roman"/>
                <w:bCs/>
                <w:color w:val="000000" w:themeColor="text1"/>
                <w:lang w:val="ro-MD"/>
              </w:rPr>
              <w:t xml:space="preserve"> în cauză.</w:t>
            </w:r>
          </w:p>
        </w:tc>
        <w:tc>
          <w:tcPr>
            <w:tcW w:w="1557" w:type="pct"/>
            <w:shd w:val="clear" w:color="auto" w:fill="auto"/>
          </w:tcPr>
          <w:p w14:paraId="5E57122E" w14:textId="62392A7A" w:rsidR="00951D3F" w:rsidRPr="004D6136" w:rsidRDefault="00E36943" w:rsidP="00951D3F">
            <w:pPr>
              <w:spacing w:after="0" w:line="276" w:lineRule="auto"/>
              <w:jc w:val="both"/>
              <w:rPr>
                <w:rFonts w:ascii="Times New Roman" w:hAnsi="Times New Roman" w:cs="Times New Roman"/>
                <w:bCs/>
                <w:color w:val="000000" w:themeColor="text1"/>
                <w:lang w:val="ro-MD"/>
              </w:rPr>
            </w:pPr>
            <w:bookmarkStart w:id="10" w:name="_Hlk188439266"/>
            <w:r w:rsidRPr="004D6136">
              <w:rPr>
                <w:rFonts w:ascii="Times New Roman" w:hAnsi="Times New Roman" w:cs="Times New Roman"/>
                <w:bCs/>
                <w:color w:val="000000" w:themeColor="text1"/>
                <w:lang w:val="ro-MD"/>
              </w:rPr>
              <w:lastRenderedPageBreak/>
              <w:t>1</w:t>
            </w:r>
            <w:r w:rsidR="008E16E0" w:rsidRPr="004D6136">
              <w:rPr>
                <w:rFonts w:ascii="Times New Roman" w:hAnsi="Times New Roman" w:cs="Times New Roman"/>
                <w:bCs/>
                <w:color w:val="000000" w:themeColor="text1"/>
                <w:lang w:val="ro-MD"/>
              </w:rPr>
              <w:t>5</w:t>
            </w:r>
            <w:r w:rsidR="00027FE6" w:rsidRPr="004D6136">
              <w:rPr>
                <w:rFonts w:ascii="Times New Roman" w:hAnsi="Times New Roman" w:cs="Times New Roman"/>
                <w:bCs/>
                <w:color w:val="000000" w:themeColor="text1"/>
                <w:lang w:val="ro-MD"/>
              </w:rPr>
              <w:t>.</w:t>
            </w:r>
            <w:r w:rsidR="00951D3F" w:rsidRPr="004D6136">
              <w:rPr>
                <w:rFonts w:ascii="Times New Roman" w:hAnsi="Times New Roman" w:cs="Times New Roman"/>
                <w:bCs/>
                <w:color w:val="000000" w:themeColor="text1"/>
                <w:lang w:val="ro-MD"/>
              </w:rPr>
              <w:t xml:space="preserve"> În sensul </w:t>
            </w:r>
            <w:r w:rsidR="00027FE6" w:rsidRPr="004D6136">
              <w:rPr>
                <w:rFonts w:ascii="Times New Roman" w:hAnsi="Times New Roman" w:cs="Times New Roman"/>
                <w:bCs/>
                <w:color w:val="000000" w:themeColor="text1"/>
                <w:lang w:val="ro-MD"/>
              </w:rPr>
              <w:t>subpct.9.5</w:t>
            </w:r>
            <w:r w:rsidR="00951D3F" w:rsidRPr="004D6136">
              <w:rPr>
                <w:rFonts w:ascii="Times New Roman" w:hAnsi="Times New Roman" w:cs="Times New Roman"/>
                <w:bCs/>
                <w:color w:val="000000" w:themeColor="text1"/>
                <w:lang w:val="ro-MD"/>
              </w:rPr>
              <w:t xml:space="preserve"> și al </w:t>
            </w:r>
            <w:r w:rsidR="00A645D4" w:rsidRPr="004D6136">
              <w:rPr>
                <w:rFonts w:ascii="Times New Roman" w:hAnsi="Times New Roman" w:cs="Times New Roman"/>
                <w:bCs/>
                <w:color w:val="000000" w:themeColor="text1"/>
                <w:lang w:val="ro-MD"/>
              </w:rPr>
              <w:t>secțiun</w:t>
            </w:r>
            <w:r w:rsidR="00A97ECB" w:rsidRPr="004D6136">
              <w:rPr>
                <w:rFonts w:ascii="Times New Roman" w:hAnsi="Times New Roman" w:cs="Times New Roman"/>
                <w:bCs/>
                <w:color w:val="000000" w:themeColor="text1"/>
                <w:lang w:val="ro-MD"/>
              </w:rPr>
              <w:t>ii</w:t>
            </w:r>
            <w:r w:rsidR="00A645D4" w:rsidRPr="004D6136">
              <w:rPr>
                <w:rFonts w:ascii="Times New Roman" w:hAnsi="Times New Roman" w:cs="Times New Roman"/>
                <w:bCs/>
                <w:color w:val="000000" w:themeColor="text1"/>
                <w:lang w:val="ro-MD"/>
              </w:rPr>
              <w:t xml:space="preserve"> 9</w:t>
            </w:r>
            <w:r w:rsidR="00951D3F" w:rsidRPr="004D6136">
              <w:rPr>
                <w:rFonts w:ascii="Times New Roman" w:hAnsi="Times New Roman" w:cs="Times New Roman"/>
                <w:bCs/>
                <w:color w:val="000000" w:themeColor="text1"/>
                <w:lang w:val="ro-MD"/>
              </w:rPr>
              <w:t>, „</w:t>
            </w:r>
            <w:proofErr w:type="spellStart"/>
            <w:r w:rsidR="00951D3F" w:rsidRPr="004D6136">
              <w:rPr>
                <w:rFonts w:ascii="Times New Roman" w:hAnsi="Times New Roman" w:cs="Times New Roman"/>
                <w:bCs/>
                <w:color w:val="000000" w:themeColor="text1"/>
                <w:lang w:val="ro-MD"/>
              </w:rPr>
              <w:t>achiziţie</w:t>
            </w:r>
            <w:proofErr w:type="spellEnd"/>
            <w:r w:rsidR="00951D3F" w:rsidRPr="004D6136">
              <w:rPr>
                <w:rFonts w:ascii="Times New Roman" w:hAnsi="Times New Roman" w:cs="Times New Roman"/>
                <w:bCs/>
                <w:color w:val="000000" w:themeColor="text1"/>
                <w:lang w:val="ro-MD"/>
              </w:rPr>
              <w:t xml:space="preserve"> sau vânzare standard” înseamnă o </w:t>
            </w:r>
            <w:proofErr w:type="spellStart"/>
            <w:r w:rsidR="00951D3F" w:rsidRPr="004D6136">
              <w:rPr>
                <w:rFonts w:ascii="Times New Roman" w:hAnsi="Times New Roman" w:cs="Times New Roman"/>
                <w:bCs/>
                <w:color w:val="000000" w:themeColor="text1"/>
                <w:lang w:val="ro-MD"/>
              </w:rPr>
              <w:t>achiziţie</w:t>
            </w:r>
            <w:proofErr w:type="spellEnd"/>
            <w:r w:rsidR="00951D3F" w:rsidRPr="004D6136">
              <w:rPr>
                <w:rFonts w:ascii="Times New Roman" w:hAnsi="Times New Roman" w:cs="Times New Roman"/>
                <w:bCs/>
                <w:color w:val="000000" w:themeColor="text1"/>
                <w:lang w:val="ro-MD"/>
              </w:rPr>
              <w:t xml:space="preserve"> sau o vânzare a unui activ financiar în cadrul unor contracte ale </w:t>
            </w:r>
            <w:r w:rsidR="00951D3F" w:rsidRPr="004D6136">
              <w:rPr>
                <w:rFonts w:ascii="Times New Roman" w:hAnsi="Times New Roman" w:cs="Times New Roman"/>
                <w:bCs/>
                <w:color w:val="000000" w:themeColor="text1"/>
                <w:lang w:val="ro-MD"/>
              </w:rPr>
              <w:lastRenderedPageBreak/>
              <w:t>căror clauze impun livrarea activului financiar</w:t>
            </w:r>
            <w:r w:rsidR="00C775E4" w:rsidRPr="004D6136">
              <w:rPr>
                <w:rFonts w:ascii="Times New Roman" w:hAnsi="Times New Roman" w:cs="Times New Roman"/>
                <w:bCs/>
                <w:color w:val="000000" w:themeColor="text1"/>
                <w:lang w:val="ro-MD"/>
              </w:rPr>
              <w:t xml:space="preserve"> </w:t>
            </w:r>
            <w:r w:rsidR="00951D3F" w:rsidRPr="004D6136">
              <w:rPr>
                <w:rFonts w:ascii="Times New Roman" w:hAnsi="Times New Roman" w:cs="Times New Roman"/>
                <w:bCs/>
                <w:color w:val="000000" w:themeColor="text1"/>
                <w:lang w:val="ro-MD"/>
              </w:rPr>
              <w:t xml:space="preserve">în perioada stabilită în general prin lege sau prin </w:t>
            </w:r>
            <w:proofErr w:type="spellStart"/>
            <w:r w:rsidR="00951D3F" w:rsidRPr="004D6136">
              <w:rPr>
                <w:rFonts w:ascii="Times New Roman" w:hAnsi="Times New Roman" w:cs="Times New Roman"/>
                <w:bCs/>
                <w:color w:val="000000" w:themeColor="text1"/>
                <w:lang w:val="ro-MD"/>
              </w:rPr>
              <w:t>convenţii</w:t>
            </w:r>
            <w:proofErr w:type="spellEnd"/>
            <w:r w:rsidR="00951D3F" w:rsidRPr="004D6136">
              <w:rPr>
                <w:rFonts w:ascii="Times New Roman" w:hAnsi="Times New Roman" w:cs="Times New Roman"/>
                <w:bCs/>
                <w:color w:val="000000" w:themeColor="text1"/>
                <w:lang w:val="ro-MD"/>
              </w:rPr>
              <w:t xml:space="preserve"> pe </w:t>
            </w:r>
            <w:proofErr w:type="spellStart"/>
            <w:r w:rsidR="00951D3F" w:rsidRPr="004D6136">
              <w:rPr>
                <w:rFonts w:ascii="Times New Roman" w:hAnsi="Times New Roman" w:cs="Times New Roman"/>
                <w:bCs/>
                <w:color w:val="000000" w:themeColor="text1"/>
                <w:lang w:val="ro-MD"/>
              </w:rPr>
              <w:t>piaţa</w:t>
            </w:r>
            <w:proofErr w:type="spellEnd"/>
            <w:r w:rsidR="00951D3F" w:rsidRPr="004D6136">
              <w:rPr>
                <w:rFonts w:ascii="Times New Roman" w:hAnsi="Times New Roman" w:cs="Times New Roman"/>
                <w:bCs/>
                <w:color w:val="000000" w:themeColor="text1"/>
                <w:lang w:val="ro-MD"/>
              </w:rPr>
              <w:t xml:space="preserve"> în cauză.</w:t>
            </w:r>
            <w:bookmarkEnd w:id="10"/>
          </w:p>
        </w:tc>
        <w:tc>
          <w:tcPr>
            <w:tcW w:w="585" w:type="pct"/>
          </w:tcPr>
          <w:p w14:paraId="4D614E78" w14:textId="0C9C7044" w:rsidR="00951D3F" w:rsidRPr="004D6136" w:rsidRDefault="00E74990" w:rsidP="00951D3F">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compatibil</w:t>
            </w:r>
          </w:p>
        </w:tc>
        <w:tc>
          <w:tcPr>
            <w:tcW w:w="1261" w:type="pct"/>
          </w:tcPr>
          <w:p w14:paraId="290C30AE" w14:textId="77777777" w:rsidR="00951D3F" w:rsidRPr="004D6136" w:rsidRDefault="00951D3F" w:rsidP="00951D3F">
            <w:pPr>
              <w:spacing w:line="276" w:lineRule="auto"/>
              <w:jc w:val="both"/>
              <w:rPr>
                <w:rFonts w:ascii="Times New Roman" w:hAnsi="Times New Roman" w:cs="Times New Roman"/>
                <w:bCs/>
                <w:color w:val="000000" w:themeColor="text1"/>
                <w:lang w:val="ro-MD"/>
              </w:rPr>
            </w:pPr>
          </w:p>
        </w:tc>
      </w:tr>
      <w:tr w:rsidR="00951D3F" w:rsidRPr="004D6136" w14:paraId="61ADBE19" w14:textId="77777777" w:rsidTr="00FC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6284D7FC" w14:textId="55968A92"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(7) Cu </w:t>
            </w:r>
            <w:proofErr w:type="spellStart"/>
            <w:r w:rsidRPr="004D6136">
              <w:rPr>
                <w:rFonts w:ascii="Times New Roman" w:hAnsi="Times New Roman" w:cs="Times New Roman"/>
                <w:bCs/>
                <w:color w:val="000000" w:themeColor="text1"/>
                <w:lang w:val="ro-MD"/>
              </w:rPr>
              <w:t>excepţia</w:t>
            </w:r>
            <w:proofErr w:type="spellEnd"/>
            <w:r w:rsidRPr="004D6136">
              <w:rPr>
                <w:rFonts w:ascii="Times New Roman" w:hAnsi="Times New Roman" w:cs="Times New Roman"/>
                <w:bCs/>
                <w:color w:val="000000" w:themeColor="text1"/>
                <w:lang w:val="ro-MD"/>
              </w:rPr>
              <w:t xml:space="preserve"> cazului în care se prevede altfel în mod expres în prezenta parte, </w:t>
            </w:r>
            <w:proofErr w:type="spellStart"/>
            <w:r w:rsidRPr="004D6136">
              <w:rPr>
                <w:rFonts w:ascii="Times New Roman" w:hAnsi="Times New Roman" w:cs="Times New Roman"/>
                <w:bCs/>
                <w:color w:val="000000" w:themeColor="text1"/>
                <w:lang w:val="ro-MD"/>
              </w:rPr>
              <w:t>instituţiile</w:t>
            </w:r>
            <w:proofErr w:type="spellEnd"/>
            <w:r w:rsidRPr="004D6136">
              <w:rPr>
                <w:rFonts w:ascii="Times New Roman" w:hAnsi="Times New Roman" w:cs="Times New Roman"/>
                <w:bCs/>
                <w:color w:val="000000" w:themeColor="text1"/>
                <w:lang w:val="ro-MD"/>
              </w:rPr>
              <w:t xml:space="preserve"> calculează indicatorul de măsurare a expunerii totale în conformitate cu următoarele principii:</w:t>
            </w:r>
          </w:p>
          <w:p w14:paraId="4B22838E" w14:textId="5F1CD5B1"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(a) </w:t>
            </w:r>
            <w:proofErr w:type="spellStart"/>
            <w:r w:rsidRPr="004D6136">
              <w:rPr>
                <w:rFonts w:ascii="Times New Roman" w:hAnsi="Times New Roman" w:cs="Times New Roman"/>
                <w:bCs/>
                <w:color w:val="000000" w:themeColor="text1"/>
                <w:lang w:val="ro-MD"/>
              </w:rPr>
              <w:t>garanţiile</w:t>
            </w:r>
            <w:proofErr w:type="spellEnd"/>
            <w:r w:rsidRPr="004D6136">
              <w:rPr>
                <w:rFonts w:ascii="Times New Roman" w:hAnsi="Times New Roman" w:cs="Times New Roman"/>
                <w:bCs/>
                <w:color w:val="000000" w:themeColor="text1"/>
                <w:lang w:val="ro-MD"/>
              </w:rPr>
              <w:t xml:space="preserve"> reale corporale sau financiare, </w:t>
            </w:r>
            <w:proofErr w:type="spellStart"/>
            <w:r w:rsidRPr="004D6136">
              <w:rPr>
                <w:rFonts w:ascii="Times New Roman" w:hAnsi="Times New Roman" w:cs="Times New Roman"/>
                <w:bCs/>
                <w:color w:val="000000" w:themeColor="text1"/>
                <w:lang w:val="ro-MD"/>
              </w:rPr>
              <w:t>garanţiile</w:t>
            </w:r>
            <w:proofErr w:type="spellEnd"/>
            <w:r w:rsidRPr="004D6136">
              <w:rPr>
                <w:rFonts w:ascii="Times New Roman" w:hAnsi="Times New Roman" w:cs="Times New Roman"/>
                <w:bCs/>
                <w:color w:val="000000" w:themeColor="text1"/>
                <w:lang w:val="ro-MD"/>
              </w:rPr>
              <w:t xml:space="preserve"> sau instrumentele de diminuare a riscului de credit cumpărate nu se utilizează pentru reducerea indicatorului de măsurare a expunerii totale;</w:t>
            </w:r>
          </w:p>
          <w:p w14:paraId="7DEB2F72" w14:textId="061DC4CB"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(b) activele nu se compensează cu pasivele.</w:t>
            </w:r>
          </w:p>
        </w:tc>
        <w:tc>
          <w:tcPr>
            <w:tcW w:w="1557" w:type="pct"/>
            <w:shd w:val="clear" w:color="auto" w:fill="auto"/>
          </w:tcPr>
          <w:p w14:paraId="62DE0270" w14:textId="6844A8D7" w:rsidR="00951D3F" w:rsidRPr="004D6136" w:rsidRDefault="00C775E4" w:rsidP="00951D3F">
            <w:pPr>
              <w:spacing w:after="0" w:line="276" w:lineRule="auto"/>
              <w:jc w:val="both"/>
              <w:rPr>
                <w:rFonts w:ascii="Times New Roman" w:hAnsi="Times New Roman" w:cs="Times New Roman"/>
                <w:bCs/>
                <w:color w:val="000000" w:themeColor="text1"/>
                <w:lang w:val="ro-MD"/>
              </w:rPr>
            </w:pPr>
            <w:bookmarkStart w:id="11" w:name="_Hlk188439382"/>
            <w:r w:rsidRPr="004D6136">
              <w:rPr>
                <w:rFonts w:ascii="Times New Roman" w:hAnsi="Times New Roman" w:cs="Times New Roman"/>
                <w:bCs/>
                <w:color w:val="000000" w:themeColor="text1"/>
                <w:lang w:val="ro-MD"/>
              </w:rPr>
              <w:t>1</w:t>
            </w:r>
            <w:r w:rsidR="008E16E0" w:rsidRPr="004D6136">
              <w:rPr>
                <w:rFonts w:ascii="Times New Roman" w:hAnsi="Times New Roman" w:cs="Times New Roman"/>
                <w:bCs/>
                <w:color w:val="000000" w:themeColor="text1"/>
                <w:lang w:val="ro-MD"/>
              </w:rPr>
              <w:t>6</w:t>
            </w:r>
            <w:r w:rsidRPr="004D6136">
              <w:rPr>
                <w:rFonts w:ascii="Times New Roman" w:hAnsi="Times New Roman" w:cs="Times New Roman"/>
                <w:bCs/>
                <w:color w:val="000000" w:themeColor="text1"/>
                <w:lang w:val="ro-MD"/>
              </w:rPr>
              <w:t>.</w:t>
            </w:r>
            <w:r w:rsidR="00951D3F" w:rsidRPr="004D6136">
              <w:rPr>
                <w:rFonts w:ascii="Times New Roman" w:hAnsi="Times New Roman" w:cs="Times New Roman"/>
                <w:bCs/>
                <w:color w:val="000000" w:themeColor="text1"/>
                <w:lang w:val="ro-MD"/>
              </w:rPr>
              <w:t xml:space="preserve"> Cu </w:t>
            </w:r>
            <w:proofErr w:type="spellStart"/>
            <w:r w:rsidR="00951D3F" w:rsidRPr="004D6136">
              <w:rPr>
                <w:rFonts w:ascii="Times New Roman" w:hAnsi="Times New Roman" w:cs="Times New Roman"/>
                <w:bCs/>
                <w:color w:val="000000" w:themeColor="text1"/>
                <w:lang w:val="ro-MD"/>
              </w:rPr>
              <w:t>excepţia</w:t>
            </w:r>
            <w:proofErr w:type="spellEnd"/>
            <w:r w:rsidR="00951D3F" w:rsidRPr="004D6136">
              <w:rPr>
                <w:rFonts w:ascii="Times New Roman" w:hAnsi="Times New Roman" w:cs="Times New Roman"/>
                <w:bCs/>
                <w:color w:val="000000" w:themeColor="text1"/>
                <w:lang w:val="ro-MD"/>
              </w:rPr>
              <w:t xml:space="preserve"> cazului în care se prevede altfel în mod expres în </w:t>
            </w:r>
            <w:r w:rsidR="00A97ECB" w:rsidRPr="004D6136">
              <w:rPr>
                <w:rFonts w:ascii="Times New Roman" w:hAnsi="Times New Roman" w:cs="Times New Roman"/>
                <w:bCs/>
                <w:color w:val="000000" w:themeColor="text1"/>
                <w:lang w:val="ro-MD"/>
              </w:rPr>
              <w:t>prezentul Regulament</w:t>
            </w:r>
            <w:r w:rsidR="00951D3F" w:rsidRPr="004D6136">
              <w:rPr>
                <w:rFonts w:ascii="Times New Roman" w:hAnsi="Times New Roman" w:cs="Times New Roman"/>
                <w:bCs/>
                <w:color w:val="000000" w:themeColor="text1"/>
                <w:lang w:val="ro-MD"/>
              </w:rPr>
              <w:t xml:space="preserve">, </w:t>
            </w:r>
            <w:r w:rsidRPr="004D6136">
              <w:rPr>
                <w:rFonts w:ascii="Times New Roman" w:hAnsi="Times New Roman" w:cs="Times New Roman"/>
                <w:bCs/>
                <w:color w:val="000000" w:themeColor="text1"/>
                <w:lang w:val="ro-MD"/>
              </w:rPr>
              <w:t xml:space="preserve">băncile </w:t>
            </w:r>
            <w:r w:rsidR="00951D3F" w:rsidRPr="004D6136">
              <w:rPr>
                <w:rFonts w:ascii="Times New Roman" w:hAnsi="Times New Roman" w:cs="Times New Roman"/>
                <w:bCs/>
                <w:color w:val="000000" w:themeColor="text1"/>
                <w:lang w:val="ro-MD"/>
              </w:rPr>
              <w:t>calculează indicatorul de măsurare a expunerii totale în conformitate cu următoarele principii:</w:t>
            </w:r>
          </w:p>
          <w:p w14:paraId="7A106477" w14:textId="2D0E3897" w:rsidR="00951D3F" w:rsidRPr="004D6136" w:rsidRDefault="00C775E4"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1</w:t>
            </w:r>
            <w:r w:rsidR="008E16E0" w:rsidRPr="004D6136">
              <w:rPr>
                <w:rFonts w:ascii="Times New Roman" w:hAnsi="Times New Roman" w:cs="Times New Roman"/>
                <w:bCs/>
                <w:color w:val="000000" w:themeColor="text1"/>
                <w:lang w:val="ro-MD"/>
              </w:rPr>
              <w:t>6</w:t>
            </w:r>
            <w:r w:rsidRPr="004D6136">
              <w:rPr>
                <w:rFonts w:ascii="Times New Roman" w:hAnsi="Times New Roman" w:cs="Times New Roman"/>
                <w:bCs/>
                <w:color w:val="000000" w:themeColor="text1"/>
                <w:lang w:val="ro-MD"/>
              </w:rPr>
              <w:t>.1.</w:t>
            </w:r>
            <w:r w:rsidR="00951D3F" w:rsidRPr="004D6136">
              <w:rPr>
                <w:rFonts w:ascii="Times New Roman" w:hAnsi="Times New Roman" w:cs="Times New Roman"/>
                <w:bCs/>
                <w:color w:val="000000" w:themeColor="text1"/>
                <w:lang w:val="ro-MD"/>
              </w:rPr>
              <w:t xml:space="preserve"> </w:t>
            </w:r>
            <w:proofErr w:type="spellStart"/>
            <w:r w:rsidR="00951D3F" w:rsidRPr="004D6136">
              <w:rPr>
                <w:rFonts w:ascii="Times New Roman" w:hAnsi="Times New Roman" w:cs="Times New Roman"/>
                <w:bCs/>
                <w:color w:val="000000" w:themeColor="text1"/>
                <w:lang w:val="ro-MD"/>
              </w:rPr>
              <w:t>garanţiile</w:t>
            </w:r>
            <w:proofErr w:type="spellEnd"/>
            <w:r w:rsidR="00951D3F" w:rsidRPr="004D6136">
              <w:rPr>
                <w:rFonts w:ascii="Times New Roman" w:hAnsi="Times New Roman" w:cs="Times New Roman"/>
                <w:bCs/>
                <w:color w:val="000000" w:themeColor="text1"/>
                <w:lang w:val="ro-MD"/>
              </w:rPr>
              <w:t xml:space="preserve"> reale corporale sau financiare, </w:t>
            </w:r>
            <w:proofErr w:type="spellStart"/>
            <w:r w:rsidR="00951D3F" w:rsidRPr="004D6136">
              <w:rPr>
                <w:rFonts w:ascii="Times New Roman" w:hAnsi="Times New Roman" w:cs="Times New Roman"/>
                <w:bCs/>
                <w:color w:val="000000" w:themeColor="text1"/>
                <w:lang w:val="ro-MD"/>
              </w:rPr>
              <w:t>garanţiile</w:t>
            </w:r>
            <w:proofErr w:type="spellEnd"/>
            <w:r w:rsidR="00951D3F" w:rsidRPr="004D6136">
              <w:rPr>
                <w:rFonts w:ascii="Times New Roman" w:hAnsi="Times New Roman" w:cs="Times New Roman"/>
                <w:bCs/>
                <w:color w:val="000000" w:themeColor="text1"/>
                <w:lang w:val="ro-MD"/>
              </w:rPr>
              <w:t xml:space="preserve"> sau instrumentele de diminuare a riscului de credit cumpărate nu se utilizează pentru reducerea indicatorului de măsurare a expunerii totale;</w:t>
            </w:r>
          </w:p>
          <w:p w14:paraId="42881429" w14:textId="159DD5B2" w:rsidR="00951D3F" w:rsidRPr="004D6136" w:rsidRDefault="00C775E4"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1</w:t>
            </w:r>
            <w:r w:rsidR="008E16E0" w:rsidRPr="004D6136">
              <w:rPr>
                <w:rFonts w:ascii="Times New Roman" w:hAnsi="Times New Roman" w:cs="Times New Roman"/>
                <w:bCs/>
                <w:color w:val="000000" w:themeColor="text1"/>
                <w:lang w:val="ro-MD"/>
              </w:rPr>
              <w:t>6</w:t>
            </w:r>
            <w:r w:rsidRPr="004D6136">
              <w:rPr>
                <w:rFonts w:ascii="Times New Roman" w:hAnsi="Times New Roman" w:cs="Times New Roman"/>
                <w:bCs/>
                <w:color w:val="000000" w:themeColor="text1"/>
                <w:lang w:val="ro-MD"/>
              </w:rPr>
              <w:t>.2.</w:t>
            </w:r>
            <w:r w:rsidR="00951D3F" w:rsidRPr="004D6136">
              <w:rPr>
                <w:rFonts w:ascii="Times New Roman" w:hAnsi="Times New Roman" w:cs="Times New Roman"/>
                <w:bCs/>
                <w:color w:val="000000" w:themeColor="text1"/>
                <w:lang w:val="ro-MD"/>
              </w:rPr>
              <w:t xml:space="preserve"> activele nu se compensează cu pasivele.</w:t>
            </w:r>
            <w:bookmarkEnd w:id="11"/>
          </w:p>
        </w:tc>
        <w:tc>
          <w:tcPr>
            <w:tcW w:w="585" w:type="pct"/>
          </w:tcPr>
          <w:p w14:paraId="797A4A86" w14:textId="52123ED1" w:rsidR="00951D3F" w:rsidRPr="004D6136" w:rsidRDefault="00CB035F" w:rsidP="00951D3F">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compatibil</w:t>
            </w:r>
          </w:p>
        </w:tc>
        <w:tc>
          <w:tcPr>
            <w:tcW w:w="1261" w:type="pct"/>
          </w:tcPr>
          <w:p w14:paraId="6389EA84" w14:textId="77777777" w:rsidR="00951D3F" w:rsidRPr="004D6136" w:rsidRDefault="00951D3F" w:rsidP="00951D3F">
            <w:pPr>
              <w:spacing w:line="276" w:lineRule="auto"/>
              <w:jc w:val="both"/>
              <w:rPr>
                <w:rFonts w:ascii="Times New Roman" w:hAnsi="Times New Roman" w:cs="Times New Roman"/>
                <w:bCs/>
                <w:color w:val="000000" w:themeColor="text1"/>
                <w:lang w:val="ro-MD"/>
              </w:rPr>
            </w:pPr>
          </w:p>
        </w:tc>
      </w:tr>
      <w:tr w:rsidR="00951D3F" w:rsidRPr="004D6136" w14:paraId="4BEA9C87" w14:textId="77777777" w:rsidTr="00FC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0408D7AB" w14:textId="7D161257" w:rsidR="00951D3F" w:rsidRPr="004D6136" w:rsidRDefault="00951D3F" w:rsidP="00951D3F">
            <w:pPr>
              <w:spacing w:after="0" w:line="276" w:lineRule="auto"/>
              <w:jc w:val="both"/>
              <w:rPr>
                <w:rFonts w:ascii="Times New Roman" w:hAnsi="Times New Roman" w:cs="Times New Roman"/>
                <w:bCs/>
                <w:color w:val="000000" w:themeColor="text1"/>
                <w:lang w:val="ro-MD"/>
              </w:rPr>
            </w:pPr>
            <w:bookmarkStart w:id="12" w:name="_Hlk188439781"/>
            <w:r w:rsidRPr="004D6136">
              <w:rPr>
                <w:rFonts w:ascii="Times New Roman" w:hAnsi="Times New Roman" w:cs="Times New Roman"/>
                <w:bCs/>
                <w:color w:val="000000" w:themeColor="text1"/>
                <w:lang w:val="ro-MD"/>
              </w:rPr>
              <w:t xml:space="preserve">(8) Prin derogare de la alineatul (7) litera (b), </w:t>
            </w:r>
            <w:proofErr w:type="spellStart"/>
            <w:r w:rsidRPr="004D6136">
              <w:rPr>
                <w:rFonts w:ascii="Times New Roman" w:hAnsi="Times New Roman" w:cs="Times New Roman"/>
                <w:bCs/>
                <w:color w:val="000000" w:themeColor="text1"/>
                <w:lang w:val="ro-MD"/>
              </w:rPr>
              <w:t>instituţiile</w:t>
            </w:r>
            <w:proofErr w:type="spellEnd"/>
            <w:r w:rsidRPr="004D6136">
              <w:rPr>
                <w:rFonts w:ascii="Times New Roman" w:hAnsi="Times New Roman" w:cs="Times New Roman"/>
                <w:bCs/>
                <w:color w:val="000000" w:themeColor="text1"/>
                <w:lang w:val="ro-MD"/>
              </w:rPr>
              <w:t xml:space="preserve"> pot reduce valoarea expunerii unui împrumut de </w:t>
            </w:r>
            <w:proofErr w:type="spellStart"/>
            <w:r w:rsidRPr="004D6136">
              <w:rPr>
                <w:rFonts w:ascii="Times New Roman" w:hAnsi="Times New Roman" w:cs="Times New Roman"/>
                <w:bCs/>
                <w:color w:val="000000" w:themeColor="text1"/>
                <w:lang w:val="ro-MD"/>
              </w:rPr>
              <w:t>prefinanţare</w:t>
            </w:r>
            <w:proofErr w:type="spellEnd"/>
            <w:r w:rsidRPr="004D6136">
              <w:rPr>
                <w:rFonts w:ascii="Times New Roman" w:hAnsi="Times New Roman" w:cs="Times New Roman"/>
                <w:bCs/>
                <w:color w:val="000000" w:themeColor="text1"/>
                <w:lang w:val="ro-MD"/>
              </w:rPr>
              <w:t xml:space="preserve"> sau a unui împrumut intermediar cu soldul pozitiv al contului de economii al debitorului căruia i-a fost acordat împrumutul și pot include suma rezultată în indicatorul de măsurare a expunerii totale, numai dacă sunt îndeplinite cumulativ următoarele </w:t>
            </w:r>
            <w:proofErr w:type="spellStart"/>
            <w:r w:rsidRPr="004D6136">
              <w:rPr>
                <w:rFonts w:ascii="Times New Roman" w:hAnsi="Times New Roman" w:cs="Times New Roman"/>
                <w:bCs/>
                <w:color w:val="000000" w:themeColor="text1"/>
                <w:lang w:val="ro-MD"/>
              </w:rPr>
              <w:t>condiţii</w:t>
            </w:r>
            <w:proofErr w:type="spellEnd"/>
            <w:r w:rsidRPr="004D6136">
              <w:rPr>
                <w:rFonts w:ascii="Times New Roman" w:hAnsi="Times New Roman" w:cs="Times New Roman"/>
                <w:bCs/>
                <w:color w:val="000000" w:themeColor="text1"/>
                <w:lang w:val="ro-MD"/>
              </w:rPr>
              <w:t>:</w:t>
            </w:r>
          </w:p>
          <w:p w14:paraId="357FFB10" w14:textId="77777777"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(a) acordarea împrumutului este </w:t>
            </w:r>
            <w:proofErr w:type="spellStart"/>
            <w:r w:rsidRPr="004D6136">
              <w:rPr>
                <w:rFonts w:ascii="Times New Roman" w:hAnsi="Times New Roman" w:cs="Times New Roman"/>
                <w:bCs/>
                <w:color w:val="000000" w:themeColor="text1"/>
                <w:lang w:val="ro-MD"/>
              </w:rPr>
              <w:t>condiţionată</w:t>
            </w:r>
            <w:proofErr w:type="spellEnd"/>
            <w:r w:rsidRPr="004D6136">
              <w:rPr>
                <w:rFonts w:ascii="Times New Roman" w:hAnsi="Times New Roman" w:cs="Times New Roman"/>
                <w:bCs/>
                <w:color w:val="000000" w:themeColor="text1"/>
                <w:lang w:val="ro-MD"/>
              </w:rPr>
              <w:t xml:space="preserve"> de deschiderea contului de economii la </w:t>
            </w:r>
            <w:proofErr w:type="spellStart"/>
            <w:r w:rsidRPr="004D6136">
              <w:rPr>
                <w:rFonts w:ascii="Times New Roman" w:hAnsi="Times New Roman" w:cs="Times New Roman"/>
                <w:bCs/>
                <w:color w:val="000000" w:themeColor="text1"/>
                <w:lang w:val="ro-MD"/>
              </w:rPr>
              <w:t>instituţia</w:t>
            </w:r>
            <w:proofErr w:type="spellEnd"/>
            <w:r w:rsidRPr="004D6136">
              <w:rPr>
                <w:rFonts w:ascii="Times New Roman" w:hAnsi="Times New Roman" w:cs="Times New Roman"/>
                <w:bCs/>
                <w:color w:val="000000" w:themeColor="text1"/>
                <w:lang w:val="ro-MD"/>
              </w:rPr>
              <w:t xml:space="preserve"> care acordă împrumutul și atât împrumutul, cât și contul de economii sunt reglementate de aceeași </w:t>
            </w:r>
            <w:proofErr w:type="spellStart"/>
            <w:r w:rsidRPr="004D6136">
              <w:rPr>
                <w:rFonts w:ascii="Times New Roman" w:hAnsi="Times New Roman" w:cs="Times New Roman"/>
                <w:bCs/>
                <w:color w:val="000000" w:themeColor="text1"/>
                <w:lang w:val="ro-MD"/>
              </w:rPr>
              <w:t>legislaţie</w:t>
            </w:r>
            <w:proofErr w:type="spellEnd"/>
            <w:r w:rsidRPr="004D6136">
              <w:rPr>
                <w:rFonts w:ascii="Times New Roman" w:hAnsi="Times New Roman" w:cs="Times New Roman"/>
                <w:bCs/>
                <w:color w:val="000000" w:themeColor="text1"/>
                <w:lang w:val="ro-MD"/>
              </w:rPr>
              <w:t xml:space="preserve"> sectorială;</w:t>
            </w:r>
          </w:p>
          <w:p w14:paraId="3F10CA2F" w14:textId="704F73E4"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(b) soldul contului de economii nu poate fi retras, în parte sau în totalitate, de către debitor pe întreaga durată a împrumutului;</w:t>
            </w:r>
          </w:p>
          <w:p w14:paraId="65E3DBC8" w14:textId="660D55D8"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(c) </w:t>
            </w:r>
            <w:proofErr w:type="spellStart"/>
            <w:r w:rsidRPr="004D6136">
              <w:rPr>
                <w:rFonts w:ascii="Times New Roman" w:hAnsi="Times New Roman" w:cs="Times New Roman"/>
                <w:bCs/>
                <w:color w:val="000000" w:themeColor="text1"/>
                <w:lang w:val="ro-MD"/>
              </w:rPr>
              <w:t>instituţia</w:t>
            </w:r>
            <w:proofErr w:type="spellEnd"/>
            <w:r w:rsidRPr="004D6136">
              <w:rPr>
                <w:rFonts w:ascii="Times New Roman" w:hAnsi="Times New Roman" w:cs="Times New Roman"/>
                <w:bCs/>
                <w:color w:val="000000" w:themeColor="text1"/>
                <w:lang w:val="ro-MD"/>
              </w:rPr>
              <w:t xml:space="preserve"> poate utiliza în mod </w:t>
            </w:r>
            <w:proofErr w:type="spellStart"/>
            <w:r w:rsidRPr="004D6136">
              <w:rPr>
                <w:rFonts w:ascii="Times New Roman" w:hAnsi="Times New Roman" w:cs="Times New Roman"/>
                <w:bCs/>
                <w:color w:val="000000" w:themeColor="text1"/>
                <w:lang w:val="ro-MD"/>
              </w:rPr>
              <w:t>necondiţionat</w:t>
            </w:r>
            <w:proofErr w:type="spellEnd"/>
            <w:r w:rsidRPr="004D6136">
              <w:rPr>
                <w:rFonts w:ascii="Times New Roman" w:hAnsi="Times New Roman" w:cs="Times New Roman"/>
                <w:bCs/>
                <w:color w:val="000000" w:themeColor="text1"/>
                <w:lang w:val="ro-MD"/>
              </w:rPr>
              <w:t xml:space="preserve"> și irevocabil soldul contului de economii pentru a </w:t>
            </w:r>
            <w:proofErr w:type="spellStart"/>
            <w:r w:rsidRPr="004D6136">
              <w:rPr>
                <w:rFonts w:ascii="Times New Roman" w:hAnsi="Times New Roman" w:cs="Times New Roman"/>
                <w:bCs/>
                <w:color w:val="000000" w:themeColor="text1"/>
                <w:lang w:val="ro-MD"/>
              </w:rPr>
              <w:t>soluţiona</w:t>
            </w:r>
            <w:proofErr w:type="spellEnd"/>
            <w:r w:rsidRPr="004D6136">
              <w:rPr>
                <w:rFonts w:ascii="Times New Roman" w:hAnsi="Times New Roman" w:cs="Times New Roman"/>
                <w:bCs/>
                <w:color w:val="000000" w:themeColor="text1"/>
                <w:lang w:val="ro-MD"/>
              </w:rPr>
              <w:t xml:space="preserve"> orice revendicare care decurge din acordul de împrumut în cazurile reglementate de </w:t>
            </w:r>
            <w:proofErr w:type="spellStart"/>
            <w:r w:rsidRPr="004D6136">
              <w:rPr>
                <w:rFonts w:ascii="Times New Roman" w:hAnsi="Times New Roman" w:cs="Times New Roman"/>
                <w:bCs/>
                <w:color w:val="000000" w:themeColor="text1"/>
                <w:lang w:val="ro-MD"/>
              </w:rPr>
              <w:t>legislaţia</w:t>
            </w:r>
            <w:proofErr w:type="spellEnd"/>
            <w:r w:rsidRPr="004D6136">
              <w:rPr>
                <w:rFonts w:ascii="Times New Roman" w:hAnsi="Times New Roman" w:cs="Times New Roman"/>
                <w:bCs/>
                <w:color w:val="000000" w:themeColor="text1"/>
                <w:lang w:val="ro-MD"/>
              </w:rPr>
              <w:t xml:space="preserve"> sectorială </w:t>
            </w:r>
            <w:proofErr w:type="spellStart"/>
            <w:r w:rsidRPr="004D6136">
              <w:rPr>
                <w:rFonts w:ascii="Times New Roman" w:hAnsi="Times New Roman" w:cs="Times New Roman"/>
                <w:bCs/>
                <w:color w:val="000000" w:themeColor="text1"/>
                <w:lang w:val="ro-MD"/>
              </w:rPr>
              <w:t>menţionată</w:t>
            </w:r>
            <w:proofErr w:type="spellEnd"/>
            <w:r w:rsidRPr="004D6136">
              <w:rPr>
                <w:rFonts w:ascii="Times New Roman" w:hAnsi="Times New Roman" w:cs="Times New Roman"/>
                <w:bCs/>
                <w:color w:val="000000" w:themeColor="text1"/>
                <w:lang w:val="ro-MD"/>
              </w:rPr>
              <w:t xml:space="preserve"> la litera (a), inclusiv în caz de neplată de către debitor sau de insolvabilitate a acestuia.</w:t>
            </w:r>
          </w:p>
          <w:p w14:paraId="5518046D" w14:textId="26EACD98"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„Împrumut de </w:t>
            </w:r>
            <w:proofErr w:type="spellStart"/>
            <w:r w:rsidRPr="004D6136">
              <w:rPr>
                <w:rFonts w:ascii="Times New Roman" w:hAnsi="Times New Roman" w:cs="Times New Roman"/>
                <w:bCs/>
                <w:color w:val="000000" w:themeColor="text1"/>
                <w:lang w:val="ro-MD"/>
              </w:rPr>
              <w:t>prefinanţare</w:t>
            </w:r>
            <w:proofErr w:type="spellEnd"/>
            <w:r w:rsidRPr="004D6136">
              <w:rPr>
                <w:rFonts w:ascii="Times New Roman" w:hAnsi="Times New Roman" w:cs="Times New Roman"/>
                <w:bCs/>
                <w:color w:val="000000" w:themeColor="text1"/>
                <w:lang w:val="ro-MD"/>
              </w:rPr>
              <w:t xml:space="preserve">” sau „împrumut intermediar” înseamnă un împrumut care este acordat debitorului pentru o perioadă limitată de timp, în vederea acoperirii deficitului de </w:t>
            </w:r>
            <w:proofErr w:type="spellStart"/>
            <w:r w:rsidRPr="004D6136">
              <w:rPr>
                <w:rFonts w:ascii="Times New Roman" w:hAnsi="Times New Roman" w:cs="Times New Roman"/>
                <w:bCs/>
                <w:color w:val="000000" w:themeColor="text1"/>
                <w:lang w:val="ro-MD"/>
              </w:rPr>
              <w:t>finanţare</w:t>
            </w:r>
            <w:proofErr w:type="spellEnd"/>
            <w:r w:rsidRPr="004D6136">
              <w:rPr>
                <w:rFonts w:ascii="Times New Roman" w:hAnsi="Times New Roman" w:cs="Times New Roman"/>
                <w:bCs/>
                <w:color w:val="000000" w:themeColor="text1"/>
                <w:lang w:val="ro-MD"/>
              </w:rPr>
              <w:t xml:space="preserve"> al debitorului până la momentul acordării împrumutului final în conformitate cu criteriile stabilite în </w:t>
            </w:r>
            <w:proofErr w:type="spellStart"/>
            <w:r w:rsidRPr="004D6136">
              <w:rPr>
                <w:rFonts w:ascii="Times New Roman" w:hAnsi="Times New Roman" w:cs="Times New Roman"/>
                <w:bCs/>
                <w:color w:val="000000" w:themeColor="text1"/>
                <w:lang w:val="ro-MD"/>
              </w:rPr>
              <w:t>legislaţia</w:t>
            </w:r>
            <w:proofErr w:type="spellEnd"/>
            <w:r w:rsidRPr="004D6136">
              <w:rPr>
                <w:rFonts w:ascii="Times New Roman" w:hAnsi="Times New Roman" w:cs="Times New Roman"/>
                <w:bCs/>
                <w:color w:val="000000" w:themeColor="text1"/>
                <w:lang w:val="ro-MD"/>
              </w:rPr>
              <w:t xml:space="preserve"> sectorială care reglementează astfel de </w:t>
            </w:r>
            <w:proofErr w:type="spellStart"/>
            <w:r w:rsidRPr="004D6136">
              <w:rPr>
                <w:rFonts w:ascii="Times New Roman" w:hAnsi="Times New Roman" w:cs="Times New Roman"/>
                <w:bCs/>
                <w:color w:val="000000" w:themeColor="text1"/>
                <w:lang w:val="ro-MD"/>
              </w:rPr>
              <w:t>tranzacţii</w:t>
            </w:r>
            <w:proofErr w:type="spellEnd"/>
            <w:r w:rsidRPr="004D6136">
              <w:rPr>
                <w:rFonts w:ascii="Times New Roman" w:hAnsi="Times New Roman" w:cs="Times New Roman"/>
                <w:bCs/>
                <w:color w:val="000000" w:themeColor="text1"/>
                <w:lang w:val="ro-MD"/>
              </w:rPr>
              <w:t>.</w:t>
            </w:r>
          </w:p>
        </w:tc>
        <w:tc>
          <w:tcPr>
            <w:tcW w:w="1557" w:type="pct"/>
            <w:shd w:val="clear" w:color="auto" w:fill="auto"/>
          </w:tcPr>
          <w:p w14:paraId="15DDB648" w14:textId="7E29300C" w:rsidR="00951D3F" w:rsidRPr="004D6136" w:rsidRDefault="00C775E4"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1</w:t>
            </w:r>
            <w:r w:rsidR="008E16E0" w:rsidRPr="004D6136">
              <w:rPr>
                <w:rFonts w:ascii="Times New Roman" w:hAnsi="Times New Roman" w:cs="Times New Roman"/>
                <w:bCs/>
                <w:color w:val="000000" w:themeColor="text1"/>
                <w:lang w:val="ro-MD"/>
              </w:rPr>
              <w:t>7</w:t>
            </w:r>
            <w:r w:rsidRPr="004D6136">
              <w:rPr>
                <w:rFonts w:ascii="Times New Roman" w:hAnsi="Times New Roman" w:cs="Times New Roman"/>
                <w:bCs/>
                <w:color w:val="000000" w:themeColor="text1"/>
                <w:lang w:val="ro-MD"/>
              </w:rPr>
              <w:t>.</w:t>
            </w:r>
            <w:r w:rsidR="00951D3F" w:rsidRPr="004D6136">
              <w:rPr>
                <w:rFonts w:ascii="Times New Roman" w:hAnsi="Times New Roman" w:cs="Times New Roman"/>
                <w:bCs/>
                <w:color w:val="000000" w:themeColor="text1"/>
                <w:lang w:val="ro-MD"/>
              </w:rPr>
              <w:t xml:space="preserve"> Prin derogare de la </w:t>
            </w:r>
            <w:r w:rsidRPr="004D6136">
              <w:rPr>
                <w:rFonts w:ascii="Times New Roman" w:hAnsi="Times New Roman" w:cs="Times New Roman"/>
                <w:bCs/>
                <w:color w:val="000000" w:themeColor="text1"/>
                <w:lang w:val="ro-MD"/>
              </w:rPr>
              <w:t>subpct.1</w:t>
            </w:r>
            <w:r w:rsidR="008E16E0" w:rsidRPr="004D6136">
              <w:rPr>
                <w:rFonts w:ascii="Times New Roman" w:hAnsi="Times New Roman" w:cs="Times New Roman"/>
                <w:bCs/>
                <w:color w:val="000000" w:themeColor="text1"/>
                <w:lang w:val="ro-MD"/>
              </w:rPr>
              <w:t>6</w:t>
            </w:r>
            <w:r w:rsidRPr="004D6136">
              <w:rPr>
                <w:rFonts w:ascii="Times New Roman" w:hAnsi="Times New Roman" w:cs="Times New Roman"/>
                <w:bCs/>
                <w:color w:val="000000" w:themeColor="text1"/>
                <w:lang w:val="ro-MD"/>
              </w:rPr>
              <w:t>.2</w:t>
            </w:r>
            <w:r w:rsidR="00951D3F" w:rsidRPr="004D6136">
              <w:rPr>
                <w:rFonts w:ascii="Times New Roman" w:hAnsi="Times New Roman" w:cs="Times New Roman"/>
                <w:bCs/>
                <w:color w:val="000000" w:themeColor="text1"/>
                <w:lang w:val="ro-MD"/>
              </w:rPr>
              <w:t xml:space="preserve">, </w:t>
            </w:r>
            <w:r w:rsidRPr="004D6136">
              <w:rPr>
                <w:rFonts w:ascii="Times New Roman" w:hAnsi="Times New Roman" w:cs="Times New Roman"/>
                <w:bCs/>
                <w:color w:val="000000" w:themeColor="text1"/>
                <w:lang w:val="ro-MD"/>
              </w:rPr>
              <w:t xml:space="preserve">băncile </w:t>
            </w:r>
            <w:r w:rsidR="00951D3F" w:rsidRPr="004D6136">
              <w:rPr>
                <w:rFonts w:ascii="Times New Roman" w:hAnsi="Times New Roman" w:cs="Times New Roman"/>
                <w:bCs/>
                <w:color w:val="000000" w:themeColor="text1"/>
                <w:lang w:val="ro-MD"/>
              </w:rPr>
              <w:t xml:space="preserve">pot reduce valoarea expunerii unui împrumut de </w:t>
            </w:r>
            <w:proofErr w:type="spellStart"/>
            <w:r w:rsidR="00951D3F" w:rsidRPr="004D6136">
              <w:rPr>
                <w:rFonts w:ascii="Times New Roman" w:hAnsi="Times New Roman" w:cs="Times New Roman"/>
                <w:bCs/>
                <w:color w:val="000000" w:themeColor="text1"/>
                <w:lang w:val="ro-MD"/>
              </w:rPr>
              <w:t>prefinanţare</w:t>
            </w:r>
            <w:proofErr w:type="spellEnd"/>
            <w:r w:rsidR="00951D3F" w:rsidRPr="004D6136">
              <w:rPr>
                <w:rFonts w:ascii="Times New Roman" w:hAnsi="Times New Roman" w:cs="Times New Roman"/>
                <w:bCs/>
                <w:color w:val="000000" w:themeColor="text1"/>
                <w:lang w:val="ro-MD"/>
              </w:rPr>
              <w:t xml:space="preserve"> sau a unui împrumut intermediar cu soldul pozitiv al contului de economii al debitorului căruia i-a fost acordat împrumutul și pot include suma rezultată în indicatorul de măsurare a expunerii totale, numai dacă sunt îndeplinite cumulativ următoarele </w:t>
            </w:r>
            <w:proofErr w:type="spellStart"/>
            <w:r w:rsidR="00951D3F" w:rsidRPr="004D6136">
              <w:rPr>
                <w:rFonts w:ascii="Times New Roman" w:hAnsi="Times New Roman" w:cs="Times New Roman"/>
                <w:bCs/>
                <w:color w:val="000000" w:themeColor="text1"/>
                <w:lang w:val="ro-MD"/>
              </w:rPr>
              <w:t>condiţii</w:t>
            </w:r>
            <w:proofErr w:type="spellEnd"/>
            <w:r w:rsidR="00951D3F" w:rsidRPr="004D6136">
              <w:rPr>
                <w:rFonts w:ascii="Times New Roman" w:hAnsi="Times New Roman" w:cs="Times New Roman"/>
                <w:bCs/>
                <w:color w:val="000000" w:themeColor="text1"/>
                <w:lang w:val="ro-MD"/>
              </w:rPr>
              <w:t>:</w:t>
            </w:r>
          </w:p>
          <w:p w14:paraId="75A6B7BA" w14:textId="695A6901" w:rsidR="00951D3F" w:rsidRPr="004D6136" w:rsidRDefault="00C775E4"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1</w:t>
            </w:r>
            <w:r w:rsidR="008E16E0" w:rsidRPr="004D6136">
              <w:rPr>
                <w:rFonts w:ascii="Times New Roman" w:hAnsi="Times New Roman" w:cs="Times New Roman"/>
                <w:bCs/>
                <w:color w:val="000000" w:themeColor="text1"/>
                <w:lang w:val="ro-MD"/>
              </w:rPr>
              <w:t>7</w:t>
            </w:r>
            <w:r w:rsidRPr="004D6136">
              <w:rPr>
                <w:rFonts w:ascii="Times New Roman" w:hAnsi="Times New Roman" w:cs="Times New Roman"/>
                <w:bCs/>
                <w:color w:val="000000" w:themeColor="text1"/>
                <w:lang w:val="ro-MD"/>
              </w:rPr>
              <w:t>.1.</w:t>
            </w:r>
            <w:r w:rsidR="00951D3F" w:rsidRPr="004D6136">
              <w:rPr>
                <w:rFonts w:ascii="Times New Roman" w:hAnsi="Times New Roman" w:cs="Times New Roman"/>
                <w:bCs/>
                <w:color w:val="000000" w:themeColor="text1"/>
                <w:lang w:val="ro-MD"/>
              </w:rPr>
              <w:t xml:space="preserve"> acordarea împrumutului este </w:t>
            </w:r>
            <w:proofErr w:type="spellStart"/>
            <w:r w:rsidR="00951D3F" w:rsidRPr="004D6136">
              <w:rPr>
                <w:rFonts w:ascii="Times New Roman" w:hAnsi="Times New Roman" w:cs="Times New Roman"/>
                <w:bCs/>
                <w:color w:val="000000" w:themeColor="text1"/>
                <w:lang w:val="ro-MD"/>
              </w:rPr>
              <w:t>condiţionată</w:t>
            </w:r>
            <w:proofErr w:type="spellEnd"/>
            <w:r w:rsidR="00951D3F" w:rsidRPr="004D6136">
              <w:rPr>
                <w:rFonts w:ascii="Times New Roman" w:hAnsi="Times New Roman" w:cs="Times New Roman"/>
                <w:bCs/>
                <w:color w:val="000000" w:themeColor="text1"/>
                <w:lang w:val="ro-MD"/>
              </w:rPr>
              <w:t xml:space="preserve"> de deschiderea contului de economii la </w:t>
            </w:r>
            <w:r w:rsidRPr="004D6136">
              <w:rPr>
                <w:rFonts w:ascii="Times New Roman" w:hAnsi="Times New Roman" w:cs="Times New Roman"/>
                <w:bCs/>
                <w:color w:val="000000" w:themeColor="text1"/>
                <w:lang w:val="ro-MD"/>
              </w:rPr>
              <w:t xml:space="preserve">banca </w:t>
            </w:r>
            <w:r w:rsidR="00951D3F" w:rsidRPr="004D6136">
              <w:rPr>
                <w:rFonts w:ascii="Times New Roman" w:hAnsi="Times New Roman" w:cs="Times New Roman"/>
                <w:bCs/>
                <w:color w:val="000000" w:themeColor="text1"/>
                <w:lang w:val="ro-MD"/>
              </w:rPr>
              <w:t xml:space="preserve">care acordă împrumutul și atât împrumutul, cât și contul de economii sunt reglementate de aceeași </w:t>
            </w:r>
            <w:proofErr w:type="spellStart"/>
            <w:r w:rsidR="00951D3F" w:rsidRPr="004D6136">
              <w:rPr>
                <w:rFonts w:ascii="Times New Roman" w:hAnsi="Times New Roman" w:cs="Times New Roman"/>
                <w:bCs/>
                <w:color w:val="000000" w:themeColor="text1"/>
                <w:lang w:val="ro-MD"/>
              </w:rPr>
              <w:t>legislaţie</w:t>
            </w:r>
            <w:proofErr w:type="spellEnd"/>
            <w:r w:rsidR="00951D3F" w:rsidRPr="004D6136">
              <w:rPr>
                <w:rFonts w:ascii="Times New Roman" w:hAnsi="Times New Roman" w:cs="Times New Roman"/>
                <w:bCs/>
                <w:color w:val="000000" w:themeColor="text1"/>
                <w:lang w:val="ro-MD"/>
              </w:rPr>
              <w:t xml:space="preserve"> sectorială;</w:t>
            </w:r>
          </w:p>
          <w:p w14:paraId="17E35707" w14:textId="4C7B3E27" w:rsidR="00951D3F" w:rsidRPr="004D6136" w:rsidRDefault="00C775E4"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1</w:t>
            </w:r>
            <w:r w:rsidR="008E16E0" w:rsidRPr="004D6136">
              <w:rPr>
                <w:rFonts w:ascii="Times New Roman" w:hAnsi="Times New Roman" w:cs="Times New Roman"/>
                <w:bCs/>
                <w:color w:val="000000" w:themeColor="text1"/>
                <w:lang w:val="ro-MD"/>
              </w:rPr>
              <w:t>7</w:t>
            </w:r>
            <w:r w:rsidRPr="004D6136">
              <w:rPr>
                <w:rFonts w:ascii="Times New Roman" w:hAnsi="Times New Roman" w:cs="Times New Roman"/>
                <w:bCs/>
                <w:color w:val="000000" w:themeColor="text1"/>
                <w:lang w:val="ro-MD"/>
              </w:rPr>
              <w:t>.2.</w:t>
            </w:r>
            <w:r w:rsidR="00951D3F" w:rsidRPr="004D6136">
              <w:rPr>
                <w:rFonts w:ascii="Times New Roman" w:hAnsi="Times New Roman" w:cs="Times New Roman"/>
                <w:bCs/>
                <w:color w:val="000000" w:themeColor="text1"/>
                <w:lang w:val="ro-MD"/>
              </w:rPr>
              <w:t xml:space="preserve"> soldul contului de economii nu poate fi retras, în parte sau în totalitate, de către debitor pe întreaga durată a împrumutului;</w:t>
            </w:r>
          </w:p>
          <w:p w14:paraId="078E7626" w14:textId="6DC5E922" w:rsidR="00951D3F" w:rsidRPr="004D6136" w:rsidRDefault="00C775E4"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1</w:t>
            </w:r>
            <w:r w:rsidR="008E16E0" w:rsidRPr="004D6136">
              <w:rPr>
                <w:rFonts w:ascii="Times New Roman" w:hAnsi="Times New Roman" w:cs="Times New Roman"/>
                <w:bCs/>
                <w:color w:val="000000" w:themeColor="text1"/>
                <w:lang w:val="ro-MD"/>
              </w:rPr>
              <w:t>7</w:t>
            </w:r>
            <w:r w:rsidRPr="004D6136">
              <w:rPr>
                <w:rFonts w:ascii="Times New Roman" w:hAnsi="Times New Roman" w:cs="Times New Roman"/>
                <w:bCs/>
                <w:color w:val="000000" w:themeColor="text1"/>
                <w:lang w:val="ro-MD"/>
              </w:rPr>
              <w:t>.3.</w:t>
            </w:r>
            <w:r w:rsidR="00951D3F" w:rsidRPr="004D6136">
              <w:rPr>
                <w:rFonts w:ascii="Times New Roman" w:hAnsi="Times New Roman" w:cs="Times New Roman"/>
                <w:bCs/>
                <w:color w:val="000000" w:themeColor="text1"/>
                <w:lang w:val="ro-MD"/>
              </w:rPr>
              <w:t xml:space="preserve"> </w:t>
            </w:r>
            <w:r w:rsidRPr="004D6136">
              <w:rPr>
                <w:rFonts w:ascii="Times New Roman" w:hAnsi="Times New Roman" w:cs="Times New Roman"/>
                <w:bCs/>
                <w:color w:val="000000" w:themeColor="text1"/>
                <w:lang w:val="ro-MD"/>
              </w:rPr>
              <w:t xml:space="preserve">banca </w:t>
            </w:r>
            <w:r w:rsidR="00951D3F" w:rsidRPr="004D6136">
              <w:rPr>
                <w:rFonts w:ascii="Times New Roman" w:hAnsi="Times New Roman" w:cs="Times New Roman"/>
                <w:bCs/>
                <w:color w:val="000000" w:themeColor="text1"/>
                <w:lang w:val="ro-MD"/>
              </w:rPr>
              <w:t xml:space="preserve">poate utiliza în mod </w:t>
            </w:r>
            <w:proofErr w:type="spellStart"/>
            <w:r w:rsidR="00951D3F" w:rsidRPr="004D6136">
              <w:rPr>
                <w:rFonts w:ascii="Times New Roman" w:hAnsi="Times New Roman" w:cs="Times New Roman"/>
                <w:bCs/>
                <w:color w:val="000000" w:themeColor="text1"/>
                <w:lang w:val="ro-MD"/>
              </w:rPr>
              <w:t>necondiţionat</w:t>
            </w:r>
            <w:proofErr w:type="spellEnd"/>
            <w:r w:rsidR="00951D3F" w:rsidRPr="004D6136">
              <w:rPr>
                <w:rFonts w:ascii="Times New Roman" w:hAnsi="Times New Roman" w:cs="Times New Roman"/>
                <w:bCs/>
                <w:color w:val="000000" w:themeColor="text1"/>
                <w:lang w:val="ro-MD"/>
              </w:rPr>
              <w:t xml:space="preserve"> și irevocabil soldul contului de economii pentru a </w:t>
            </w:r>
            <w:proofErr w:type="spellStart"/>
            <w:r w:rsidR="00951D3F" w:rsidRPr="004D6136">
              <w:rPr>
                <w:rFonts w:ascii="Times New Roman" w:hAnsi="Times New Roman" w:cs="Times New Roman"/>
                <w:bCs/>
                <w:color w:val="000000" w:themeColor="text1"/>
                <w:lang w:val="ro-MD"/>
              </w:rPr>
              <w:t>soluţiona</w:t>
            </w:r>
            <w:proofErr w:type="spellEnd"/>
            <w:r w:rsidR="00951D3F" w:rsidRPr="004D6136">
              <w:rPr>
                <w:rFonts w:ascii="Times New Roman" w:hAnsi="Times New Roman" w:cs="Times New Roman"/>
                <w:bCs/>
                <w:color w:val="000000" w:themeColor="text1"/>
                <w:lang w:val="ro-MD"/>
              </w:rPr>
              <w:t xml:space="preserve"> orice revendicare care decurge din acordul de împrumut în cazurile reglementate de </w:t>
            </w:r>
            <w:proofErr w:type="spellStart"/>
            <w:r w:rsidR="00951D3F" w:rsidRPr="004D6136">
              <w:rPr>
                <w:rFonts w:ascii="Times New Roman" w:hAnsi="Times New Roman" w:cs="Times New Roman"/>
                <w:bCs/>
                <w:color w:val="000000" w:themeColor="text1"/>
                <w:lang w:val="ro-MD"/>
              </w:rPr>
              <w:t>legislaţia</w:t>
            </w:r>
            <w:proofErr w:type="spellEnd"/>
            <w:r w:rsidR="00951D3F" w:rsidRPr="004D6136">
              <w:rPr>
                <w:rFonts w:ascii="Times New Roman" w:hAnsi="Times New Roman" w:cs="Times New Roman"/>
                <w:bCs/>
                <w:color w:val="000000" w:themeColor="text1"/>
                <w:lang w:val="ro-MD"/>
              </w:rPr>
              <w:t xml:space="preserve"> sectorială </w:t>
            </w:r>
            <w:proofErr w:type="spellStart"/>
            <w:r w:rsidR="00951D3F" w:rsidRPr="004D6136">
              <w:rPr>
                <w:rFonts w:ascii="Times New Roman" w:hAnsi="Times New Roman" w:cs="Times New Roman"/>
                <w:bCs/>
                <w:color w:val="000000" w:themeColor="text1"/>
                <w:lang w:val="ro-MD"/>
              </w:rPr>
              <w:t>menţionată</w:t>
            </w:r>
            <w:proofErr w:type="spellEnd"/>
            <w:r w:rsidR="00951D3F" w:rsidRPr="004D6136">
              <w:rPr>
                <w:rFonts w:ascii="Times New Roman" w:hAnsi="Times New Roman" w:cs="Times New Roman"/>
                <w:bCs/>
                <w:color w:val="000000" w:themeColor="text1"/>
                <w:lang w:val="ro-MD"/>
              </w:rPr>
              <w:t xml:space="preserve"> la </w:t>
            </w:r>
            <w:r w:rsidRPr="004D6136">
              <w:rPr>
                <w:rFonts w:ascii="Times New Roman" w:hAnsi="Times New Roman" w:cs="Times New Roman"/>
                <w:bCs/>
                <w:color w:val="000000" w:themeColor="text1"/>
                <w:lang w:val="ro-MD"/>
              </w:rPr>
              <w:t>subpct.1</w:t>
            </w:r>
            <w:r w:rsidR="008E16E0" w:rsidRPr="004D6136">
              <w:rPr>
                <w:rFonts w:ascii="Times New Roman" w:hAnsi="Times New Roman" w:cs="Times New Roman"/>
                <w:bCs/>
                <w:color w:val="000000" w:themeColor="text1"/>
                <w:lang w:val="ro-MD"/>
              </w:rPr>
              <w:t>7</w:t>
            </w:r>
            <w:r w:rsidRPr="004D6136">
              <w:rPr>
                <w:rFonts w:ascii="Times New Roman" w:hAnsi="Times New Roman" w:cs="Times New Roman"/>
                <w:bCs/>
                <w:color w:val="000000" w:themeColor="text1"/>
                <w:lang w:val="ro-MD"/>
              </w:rPr>
              <w:t>.1</w:t>
            </w:r>
            <w:r w:rsidR="00951D3F" w:rsidRPr="004D6136">
              <w:rPr>
                <w:rFonts w:ascii="Times New Roman" w:hAnsi="Times New Roman" w:cs="Times New Roman"/>
                <w:bCs/>
                <w:color w:val="000000" w:themeColor="text1"/>
                <w:lang w:val="ro-MD"/>
              </w:rPr>
              <w:t>, inclusiv în caz de neplată de către debitor sau de insolvabilitate a acestuia.</w:t>
            </w:r>
          </w:p>
          <w:p w14:paraId="156EA65D" w14:textId="5C8DC006" w:rsidR="00951D3F" w:rsidRPr="004D6136" w:rsidRDefault="00C775E4"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1</w:t>
            </w:r>
            <w:r w:rsidR="008E16E0" w:rsidRPr="004D6136">
              <w:rPr>
                <w:rFonts w:ascii="Times New Roman" w:hAnsi="Times New Roman" w:cs="Times New Roman"/>
                <w:bCs/>
                <w:color w:val="000000" w:themeColor="text1"/>
                <w:lang w:val="ro-MD"/>
              </w:rPr>
              <w:t>8</w:t>
            </w:r>
            <w:r w:rsidRPr="004D6136">
              <w:rPr>
                <w:rFonts w:ascii="Times New Roman" w:hAnsi="Times New Roman" w:cs="Times New Roman"/>
                <w:bCs/>
                <w:color w:val="000000" w:themeColor="text1"/>
                <w:lang w:val="ro-MD"/>
              </w:rPr>
              <w:t>. În sensul pct.1</w:t>
            </w:r>
            <w:r w:rsidR="008E16E0" w:rsidRPr="004D6136">
              <w:rPr>
                <w:rFonts w:ascii="Times New Roman" w:hAnsi="Times New Roman" w:cs="Times New Roman"/>
                <w:bCs/>
                <w:color w:val="000000" w:themeColor="text1"/>
                <w:lang w:val="ro-MD"/>
              </w:rPr>
              <w:t>7</w:t>
            </w:r>
            <w:r w:rsidRPr="004D6136">
              <w:rPr>
                <w:rFonts w:ascii="Times New Roman" w:hAnsi="Times New Roman" w:cs="Times New Roman"/>
                <w:bCs/>
                <w:color w:val="000000" w:themeColor="text1"/>
                <w:lang w:val="ro-MD"/>
              </w:rPr>
              <w:t xml:space="preserve"> </w:t>
            </w:r>
            <w:r w:rsidR="00951D3F" w:rsidRPr="004D6136">
              <w:rPr>
                <w:rFonts w:ascii="Times New Roman" w:hAnsi="Times New Roman" w:cs="Times New Roman"/>
                <w:bCs/>
                <w:color w:val="000000" w:themeColor="text1"/>
                <w:lang w:val="ro-MD"/>
              </w:rPr>
              <w:t>„</w:t>
            </w:r>
            <w:r w:rsidRPr="004D6136">
              <w:rPr>
                <w:rFonts w:ascii="Times New Roman" w:hAnsi="Times New Roman" w:cs="Times New Roman"/>
                <w:bCs/>
                <w:color w:val="000000" w:themeColor="text1"/>
                <w:lang w:val="ro-MD"/>
              </w:rPr>
              <w:t>î</w:t>
            </w:r>
            <w:r w:rsidR="00951D3F" w:rsidRPr="004D6136">
              <w:rPr>
                <w:rFonts w:ascii="Times New Roman" w:hAnsi="Times New Roman" w:cs="Times New Roman"/>
                <w:bCs/>
                <w:color w:val="000000" w:themeColor="text1"/>
                <w:lang w:val="ro-MD"/>
              </w:rPr>
              <w:t xml:space="preserve">mprumut de </w:t>
            </w:r>
            <w:proofErr w:type="spellStart"/>
            <w:r w:rsidR="00951D3F" w:rsidRPr="004D6136">
              <w:rPr>
                <w:rFonts w:ascii="Times New Roman" w:hAnsi="Times New Roman" w:cs="Times New Roman"/>
                <w:bCs/>
                <w:color w:val="000000" w:themeColor="text1"/>
                <w:lang w:val="ro-MD"/>
              </w:rPr>
              <w:t>prefinanţare</w:t>
            </w:r>
            <w:proofErr w:type="spellEnd"/>
            <w:r w:rsidR="00951D3F" w:rsidRPr="004D6136">
              <w:rPr>
                <w:rFonts w:ascii="Times New Roman" w:hAnsi="Times New Roman" w:cs="Times New Roman"/>
                <w:bCs/>
                <w:color w:val="000000" w:themeColor="text1"/>
                <w:lang w:val="ro-MD"/>
              </w:rPr>
              <w:t xml:space="preserve">” sau „împrumut intermediar” înseamnă un împrumut care este acordat debitorului pentru o perioadă limitată de timp, în vederea acoperirii deficitului de </w:t>
            </w:r>
            <w:proofErr w:type="spellStart"/>
            <w:r w:rsidR="00951D3F" w:rsidRPr="004D6136">
              <w:rPr>
                <w:rFonts w:ascii="Times New Roman" w:hAnsi="Times New Roman" w:cs="Times New Roman"/>
                <w:bCs/>
                <w:color w:val="000000" w:themeColor="text1"/>
                <w:lang w:val="ro-MD"/>
              </w:rPr>
              <w:t>finanţare</w:t>
            </w:r>
            <w:proofErr w:type="spellEnd"/>
            <w:r w:rsidR="00951D3F" w:rsidRPr="004D6136">
              <w:rPr>
                <w:rFonts w:ascii="Times New Roman" w:hAnsi="Times New Roman" w:cs="Times New Roman"/>
                <w:bCs/>
                <w:color w:val="000000" w:themeColor="text1"/>
                <w:lang w:val="ro-MD"/>
              </w:rPr>
              <w:t xml:space="preserve"> al debitorului până la momentul acordării împrumutului final în conformitate cu criteriile stabilite în </w:t>
            </w:r>
            <w:proofErr w:type="spellStart"/>
            <w:r w:rsidR="00951D3F" w:rsidRPr="004D6136">
              <w:rPr>
                <w:rFonts w:ascii="Times New Roman" w:hAnsi="Times New Roman" w:cs="Times New Roman"/>
                <w:bCs/>
                <w:color w:val="000000" w:themeColor="text1"/>
                <w:lang w:val="ro-MD"/>
              </w:rPr>
              <w:t>legislaţia</w:t>
            </w:r>
            <w:proofErr w:type="spellEnd"/>
            <w:r w:rsidR="00951D3F" w:rsidRPr="004D6136">
              <w:rPr>
                <w:rFonts w:ascii="Times New Roman" w:hAnsi="Times New Roman" w:cs="Times New Roman"/>
                <w:bCs/>
                <w:color w:val="000000" w:themeColor="text1"/>
                <w:lang w:val="ro-MD"/>
              </w:rPr>
              <w:t xml:space="preserve"> sectorială care reglementează astfel de </w:t>
            </w:r>
            <w:proofErr w:type="spellStart"/>
            <w:r w:rsidR="00951D3F" w:rsidRPr="004D6136">
              <w:rPr>
                <w:rFonts w:ascii="Times New Roman" w:hAnsi="Times New Roman" w:cs="Times New Roman"/>
                <w:bCs/>
                <w:color w:val="000000" w:themeColor="text1"/>
                <w:lang w:val="ro-MD"/>
              </w:rPr>
              <w:t>tranzacţii</w:t>
            </w:r>
            <w:proofErr w:type="spellEnd"/>
            <w:r w:rsidR="00951D3F" w:rsidRPr="004D6136">
              <w:rPr>
                <w:rFonts w:ascii="Times New Roman" w:hAnsi="Times New Roman" w:cs="Times New Roman"/>
                <w:bCs/>
                <w:color w:val="000000" w:themeColor="text1"/>
                <w:lang w:val="ro-MD"/>
              </w:rPr>
              <w:t>.</w:t>
            </w:r>
          </w:p>
        </w:tc>
        <w:tc>
          <w:tcPr>
            <w:tcW w:w="585" w:type="pct"/>
          </w:tcPr>
          <w:p w14:paraId="50F0EC51" w14:textId="0C447117" w:rsidR="00951D3F" w:rsidRPr="004D6136" w:rsidRDefault="00CB035F" w:rsidP="00951D3F">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compatibil</w:t>
            </w:r>
          </w:p>
        </w:tc>
        <w:tc>
          <w:tcPr>
            <w:tcW w:w="1261" w:type="pct"/>
          </w:tcPr>
          <w:p w14:paraId="45A6B18C" w14:textId="77777777" w:rsidR="00951D3F" w:rsidRPr="004D6136" w:rsidRDefault="00951D3F" w:rsidP="00951D3F">
            <w:pPr>
              <w:spacing w:line="276" w:lineRule="auto"/>
              <w:jc w:val="both"/>
              <w:rPr>
                <w:rFonts w:ascii="Times New Roman" w:hAnsi="Times New Roman" w:cs="Times New Roman"/>
                <w:bCs/>
                <w:color w:val="000000" w:themeColor="text1"/>
                <w:lang w:val="ro-MD"/>
              </w:rPr>
            </w:pPr>
          </w:p>
        </w:tc>
      </w:tr>
      <w:tr w:rsidR="00951D3F" w:rsidRPr="004D6136" w14:paraId="7BC2348B" w14:textId="77777777" w:rsidTr="000A2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498DCB66" w14:textId="77777777" w:rsidR="00951D3F" w:rsidRPr="004D6136" w:rsidRDefault="00951D3F" w:rsidP="00951D3F">
            <w:pPr>
              <w:spacing w:after="0" w:line="276" w:lineRule="auto"/>
              <w:jc w:val="both"/>
              <w:rPr>
                <w:rFonts w:ascii="Times New Roman" w:hAnsi="Times New Roman" w:cs="Times New Roman"/>
                <w:b/>
                <w:color w:val="000000" w:themeColor="text1"/>
                <w:lang w:val="ro-MD"/>
              </w:rPr>
            </w:pPr>
            <w:bookmarkStart w:id="13" w:name="_Hlk188368166"/>
            <w:bookmarkEnd w:id="12"/>
            <w:r w:rsidRPr="004D6136">
              <w:rPr>
                <w:rFonts w:ascii="Times New Roman" w:hAnsi="Times New Roman" w:cs="Times New Roman"/>
                <w:b/>
                <w:color w:val="000000" w:themeColor="text1"/>
                <w:lang w:val="ro-MD"/>
              </w:rPr>
              <w:t>Articolul 429a</w:t>
            </w:r>
          </w:p>
          <w:p w14:paraId="37C76917" w14:textId="5FC0D933"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
                <w:color w:val="000000" w:themeColor="text1"/>
                <w:lang w:val="ro-MD"/>
              </w:rPr>
              <w:t>Expuneri excluse din indicatorul de măsurare a expunerii totale</w:t>
            </w:r>
          </w:p>
        </w:tc>
        <w:tc>
          <w:tcPr>
            <w:tcW w:w="1557" w:type="pct"/>
          </w:tcPr>
          <w:p w14:paraId="610F167A" w14:textId="450C9DFD" w:rsidR="00951D3F" w:rsidRPr="004D6136" w:rsidRDefault="006A3B3A" w:rsidP="00951D3F">
            <w:pPr>
              <w:spacing w:after="0" w:line="276" w:lineRule="auto"/>
              <w:jc w:val="both"/>
              <w:rPr>
                <w:rFonts w:ascii="Times New Roman" w:hAnsi="Times New Roman" w:cs="Times New Roman"/>
                <w:b/>
                <w:color w:val="000000" w:themeColor="text1"/>
                <w:lang w:val="ro-MD"/>
              </w:rPr>
            </w:pPr>
            <w:r w:rsidRPr="004D6136">
              <w:rPr>
                <w:rFonts w:ascii="Times New Roman" w:hAnsi="Times New Roman" w:cs="Times New Roman"/>
                <w:b/>
                <w:color w:val="000000" w:themeColor="text1"/>
                <w:lang w:val="ro-MD"/>
              </w:rPr>
              <w:t>Secțiunea 3</w:t>
            </w:r>
          </w:p>
          <w:p w14:paraId="78176FFE" w14:textId="1015DDC3" w:rsidR="00951D3F" w:rsidRPr="004D6136" w:rsidRDefault="006A3B3A" w:rsidP="00951D3F">
            <w:pPr>
              <w:spacing w:after="0" w:line="276" w:lineRule="auto"/>
              <w:jc w:val="both"/>
              <w:rPr>
                <w:rFonts w:ascii="Times New Roman" w:hAnsi="Times New Roman" w:cs="Times New Roman"/>
                <w:b/>
                <w:color w:val="000000" w:themeColor="text1"/>
                <w:lang w:val="ro-MD"/>
              </w:rPr>
            </w:pPr>
            <w:r w:rsidRPr="004D6136">
              <w:rPr>
                <w:rFonts w:ascii="Times New Roman" w:hAnsi="Times New Roman" w:cs="Times New Roman"/>
                <w:b/>
                <w:color w:val="000000" w:themeColor="text1"/>
                <w:lang w:val="ro-MD"/>
              </w:rPr>
              <w:t>Expuneri excluse din indicatorul de măsurare a expunerii totale</w:t>
            </w:r>
          </w:p>
        </w:tc>
        <w:tc>
          <w:tcPr>
            <w:tcW w:w="585" w:type="pct"/>
          </w:tcPr>
          <w:p w14:paraId="36305EE8" w14:textId="77777777" w:rsidR="00951D3F" w:rsidRPr="004D6136" w:rsidRDefault="00951D3F" w:rsidP="00951D3F">
            <w:pPr>
              <w:spacing w:line="276" w:lineRule="auto"/>
              <w:jc w:val="both"/>
              <w:rPr>
                <w:rFonts w:ascii="Times New Roman" w:hAnsi="Times New Roman" w:cs="Times New Roman"/>
                <w:bCs/>
                <w:color w:val="000000" w:themeColor="text1"/>
                <w:lang w:val="ro-MD"/>
              </w:rPr>
            </w:pPr>
          </w:p>
        </w:tc>
        <w:tc>
          <w:tcPr>
            <w:tcW w:w="1261" w:type="pct"/>
          </w:tcPr>
          <w:p w14:paraId="78B5B907" w14:textId="77777777" w:rsidR="00951D3F" w:rsidRPr="004D6136" w:rsidRDefault="00951D3F" w:rsidP="00951D3F">
            <w:pPr>
              <w:spacing w:line="276" w:lineRule="auto"/>
              <w:jc w:val="both"/>
              <w:rPr>
                <w:rFonts w:ascii="Times New Roman" w:hAnsi="Times New Roman" w:cs="Times New Roman"/>
                <w:bCs/>
                <w:color w:val="000000" w:themeColor="text1"/>
                <w:lang w:val="ro-MD"/>
              </w:rPr>
            </w:pPr>
          </w:p>
        </w:tc>
      </w:tr>
      <w:bookmarkEnd w:id="13"/>
      <w:tr w:rsidR="00951D3F" w:rsidRPr="004D6136" w14:paraId="4D956230" w14:textId="77777777" w:rsidTr="000F0E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3FC85BEE" w14:textId="3C4999A1"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(1) Prin derogare de la articolul 429 alineatul (4), o </w:t>
            </w:r>
            <w:proofErr w:type="spellStart"/>
            <w:r w:rsidRPr="004D6136">
              <w:rPr>
                <w:rFonts w:ascii="Times New Roman" w:hAnsi="Times New Roman" w:cs="Times New Roman"/>
                <w:bCs/>
                <w:color w:val="000000" w:themeColor="text1"/>
                <w:lang w:val="ro-MD"/>
              </w:rPr>
              <w:t>instituţie</w:t>
            </w:r>
            <w:proofErr w:type="spellEnd"/>
            <w:r w:rsidRPr="004D6136">
              <w:rPr>
                <w:rFonts w:ascii="Times New Roman" w:hAnsi="Times New Roman" w:cs="Times New Roman"/>
                <w:bCs/>
                <w:color w:val="000000" w:themeColor="text1"/>
                <w:lang w:val="ro-MD"/>
              </w:rPr>
              <w:t xml:space="preserve"> poate să excludă oricare dintre următoarele expuneri din indicatorul de măsurare a expunerii totale:</w:t>
            </w:r>
          </w:p>
          <w:p w14:paraId="10D2250C" w14:textId="48F4C915"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(a) cuantumurile deduse din elementele de fonduri proprii de nivel 1 de bază în conformitate cu articolul 36 alineatul (1) litera (d);</w:t>
            </w:r>
          </w:p>
          <w:p w14:paraId="0ED6EE2C" w14:textId="471A445F"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(b) activele deduse la calcularea indicatorului de măsurare a capitalului </w:t>
            </w:r>
            <w:proofErr w:type="spellStart"/>
            <w:r w:rsidRPr="004D6136">
              <w:rPr>
                <w:rFonts w:ascii="Times New Roman" w:hAnsi="Times New Roman" w:cs="Times New Roman"/>
                <w:bCs/>
                <w:color w:val="000000" w:themeColor="text1"/>
                <w:lang w:val="ro-MD"/>
              </w:rPr>
              <w:t>menţionat</w:t>
            </w:r>
            <w:proofErr w:type="spellEnd"/>
            <w:r w:rsidRPr="004D6136">
              <w:rPr>
                <w:rFonts w:ascii="Times New Roman" w:hAnsi="Times New Roman" w:cs="Times New Roman"/>
                <w:bCs/>
                <w:color w:val="000000" w:themeColor="text1"/>
                <w:lang w:val="ro-MD"/>
              </w:rPr>
              <w:t xml:space="preserve"> la articolul 429 alineatul (3);</w:t>
            </w:r>
          </w:p>
          <w:p w14:paraId="6A904CD1" w14:textId="77777777"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(c) expunerile cărora li se atribuie o pondere de risc de 0 % în conformitate cu articolul 113 alineatul (6) sau (7);</w:t>
            </w:r>
          </w:p>
          <w:p w14:paraId="2B61EA0E" w14:textId="77777777" w:rsidR="00951D3F" w:rsidRPr="004D6136" w:rsidRDefault="00951D3F" w:rsidP="00951D3F">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
                <w:color w:val="000000" w:themeColor="text1"/>
                <w:lang w:val="ro-MD"/>
              </w:rPr>
              <w:t>▼M17</w:t>
            </w:r>
          </w:p>
          <w:p w14:paraId="5496EF3F" w14:textId="237FCA25"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(ca) în cazul în care instituția este membră a rețelei menționate la articolul 113 alineatul (7), expunerile cărora li se atribuie o pondere de risc de 0 % în conformitate cu articolul 114 și care decurg din active care sunt echivalentul depozitelor în aceeași monedă ale altor membri ai rețelei respective rezultate dintr-un depozit minim legal sau statutar în conformitate cu articolul 422 alineatul (3) litera (b); într-un astfel de caz, expunerile altor membri ai rețelei respective care reprezintă un depozit minim legal sau statutar nu fac obiectul literei (c) de la prezentul alineat;</w:t>
            </w:r>
          </w:p>
          <w:p w14:paraId="52E4DAA6" w14:textId="77777777" w:rsidR="00951D3F" w:rsidRPr="004D6136" w:rsidRDefault="00951D3F" w:rsidP="00951D3F">
            <w:pPr>
              <w:spacing w:after="0" w:line="276" w:lineRule="auto"/>
              <w:jc w:val="both"/>
              <w:rPr>
                <w:rFonts w:ascii="Times New Roman" w:hAnsi="Times New Roman" w:cs="Times New Roman"/>
                <w:b/>
                <w:color w:val="000000" w:themeColor="text1"/>
                <w:lang w:val="ro-MD"/>
              </w:rPr>
            </w:pPr>
            <w:r w:rsidRPr="004D6136">
              <w:rPr>
                <w:rFonts w:ascii="Times New Roman" w:hAnsi="Times New Roman" w:cs="Times New Roman"/>
                <w:b/>
                <w:color w:val="000000" w:themeColor="text1"/>
                <w:lang w:val="ro-MD"/>
              </w:rPr>
              <w:t>▼C7</w:t>
            </w:r>
          </w:p>
          <w:p w14:paraId="75B15F24" w14:textId="16A8F51C"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(d) în cazul în care </w:t>
            </w:r>
            <w:proofErr w:type="spellStart"/>
            <w:r w:rsidRPr="004D6136">
              <w:rPr>
                <w:rFonts w:ascii="Times New Roman" w:hAnsi="Times New Roman" w:cs="Times New Roman"/>
                <w:bCs/>
                <w:color w:val="000000" w:themeColor="text1"/>
                <w:lang w:val="ro-MD"/>
              </w:rPr>
              <w:t>instituţia</w:t>
            </w:r>
            <w:proofErr w:type="spellEnd"/>
            <w:r w:rsidRPr="004D6136">
              <w:rPr>
                <w:rFonts w:ascii="Times New Roman" w:hAnsi="Times New Roman" w:cs="Times New Roman"/>
                <w:bCs/>
                <w:color w:val="000000" w:themeColor="text1"/>
                <w:lang w:val="ro-MD"/>
              </w:rPr>
              <w:t xml:space="preserve"> este o </w:t>
            </w:r>
            <w:proofErr w:type="spellStart"/>
            <w:r w:rsidRPr="004D6136">
              <w:rPr>
                <w:rFonts w:ascii="Times New Roman" w:hAnsi="Times New Roman" w:cs="Times New Roman"/>
                <w:bCs/>
                <w:color w:val="000000" w:themeColor="text1"/>
                <w:lang w:val="ro-MD"/>
              </w:rPr>
              <w:t>instituţie</w:t>
            </w:r>
            <w:proofErr w:type="spellEnd"/>
            <w:r w:rsidRPr="004D6136">
              <w:rPr>
                <w:rFonts w:ascii="Times New Roman" w:hAnsi="Times New Roman" w:cs="Times New Roman"/>
                <w:bCs/>
                <w:color w:val="000000" w:themeColor="text1"/>
                <w:lang w:val="ro-MD"/>
              </w:rPr>
              <w:t xml:space="preserve"> de credit pentru dezvoltare publică, expunerile care decurg din active care constituie </w:t>
            </w:r>
            <w:proofErr w:type="spellStart"/>
            <w:r w:rsidRPr="004D6136">
              <w:rPr>
                <w:rFonts w:ascii="Times New Roman" w:hAnsi="Times New Roman" w:cs="Times New Roman"/>
                <w:bCs/>
                <w:color w:val="000000" w:themeColor="text1"/>
                <w:lang w:val="ro-MD"/>
              </w:rPr>
              <w:t>creanţe</w:t>
            </w:r>
            <w:proofErr w:type="spellEnd"/>
            <w:r w:rsidRPr="004D6136">
              <w:rPr>
                <w:rFonts w:ascii="Times New Roman" w:hAnsi="Times New Roman" w:cs="Times New Roman"/>
                <w:bCs/>
                <w:color w:val="000000" w:themeColor="text1"/>
                <w:lang w:val="ro-MD"/>
              </w:rPr>
              <w:t xml:space="preserve"> asupra </w:t>
            </w:r>
            <w:proofErr w:type="spellStart"/>
            <w:r w:rsidRPr="004D6136">
              <w:rPr>
                <w:rFonts w:ascii="Times New Roman" w:hAnsi="Times New Roman" w:cs="Times New Roman"/>
                <w:bCs/>
                <w:color w:val="000000" w:themeColor="text1"/>
                <w:lang w:val="ro-MD"/>
              </w:rPr>
              <w:t>administraţiilor</w:t>
            </w:r>
            <w:proofErr w:type="spellEnd"/>
            <w:r w:rsidRPr="004D6136">
              <w:rPr>
                <w:rFonts w:ascii="Times New Roman" w:hAnsi="Times New Roman" w:cs="Times New Roman"/>
                <w:bCs/>
                <w:color w:val="000000" w:themeColor="text1"/>
                <w:lang w:val="ro-MD"/>
              </w:rPr>
              <w:t xml:space="preserve"> </w:t>
            </w:r>
            <w:r w:rsidRPr="004D6136">
              <w:rPr>
                <w:rFonts w:ascii="Times New Roman" w:hAnsi="Times New Roman" w:cs="Times New Roman"/>
                <w:bCs/>
                <w:color w:val="000000" w:themeColor="text1"/>
                <w:lang w:val="ro-MD"/>
              </w:rPr>
              <w:lastRenderedPageBreak/>
              <w:t xml:space="preserve">centrale, </w:t>
            </w:r>
            <w:proofErr w:type="spellStart"/>
            <w:r w:rsidRPr="004D6136">
              <w:rPr>
                <w:rFonts w:ascii="Times New Roman" w:hAnsi="Times New Roman" w:cs="Times New Roman"/>
                <w:bCs/>
                <w:color w:val="000000" w:themeColor="text1"/>
                <w:lang w:val="ro-MD"/>
              </w:rPr>
              <w:t>administraţiilor</w:t>
            </w:r>
            <w:proofErr w:type="spellEnd"/>
            <w:r w:rsidRPr="004D6136">
              <w:rPr>
                <w:rFonts w:ascii="Times New Roman" w:hAnsi="Times New Roman" w:cs="Times New Roman"/>
                <w:bCs/>
                <w:color w:val="000000" w:themeColor="text1"/>
                <w:lang w:val="ro-MD"/>
              </w:rPr>
              <w:t xml:space="preserve"> regionale, </w:t>
            </w:r>
            <w:proofErr w:type="spellStart"/>
            <w:r w:rsidRPr="004D6136">
              <w:rPr>
                <w:rFonts w:ascii="Times New Roman" w:hAnsi="Times New Roman" w:cs="Times New Roman"/>
                <w:bCs/>
                <w:color w:val="000000" w:themeColor="text1"/>
                <w:lang w:val="ro-MD"/>
              </w:rPr>
              <w:t>autorităţilor</w:t>
            </w:r>
            <w:proofErr w:type="spellEnd"/>
            <w:r w:rsidRPr="004D6136">
              <w:rPr>
                <w:rFonts w:ascii="Times New Roman" w:hAnsi="Times New Roman" w:cs="Times New Roman"/>
                <w:bCs/>
                <w:color w:val="000000" w:themeColor="text1"/>
                <w:lang w:val="ro-MD"/>
              </w:rPr>
              <w:t xml:space="preserve"> locale sau </w:t>
            </w:r>
            <w:proofErr w:type="spellStart"/>
            <w:r w:rsidRPr="004D6136">
              <w:rPr>
                <w:rFonts w:ascii="Times New Roman" w:hAnsi="Times New Roman" w:cs="Times New Roman"/>
                <w:bCs/>
                <w:color w:val="000000" w:themeColor="text1"/>
                <w:lang w:val="ro-MD"/>
              </w:rPr>
              <w:t>entităţilor</w:t>
            </w:r>
            <w:proofErr w:type="spellEnd"/>
            <w:r w:rsidRPr="004D6136">
              <w:rPr>
                <w:rFonts w:ascii="Times New Roman" w:hAnsi="Times New Roman" w:cs="Times New Roman"/>
                <w:bCs/>
                <w:color w:val="000000" w:themeColor="text1"/>
                <w:lang w:val="ro-MD"/>
              </w:rPr>
              <w:t xml:space="preserve"> din sectorul public în ceea ce privește </w:t>
            </w:r>
            <w:proofErr w:type="spellStart"/>
            <w:r w:rsidRPr="004D6136">
              <w:rPr>
                <w:rFonts w:ascii="Times New Roman" w:hAnsi="Times New Roman" w:cs="Times New Roman"/>
                <w:bCs/>
                <w:color w:val="000000" w:themeColor="text1"/>
                <w:lang w:val="ro-MD"/>
              </w:rPr>
              <w:t>investiţiile</w:t>
            </w:r>
            <w:proofErr w:type="spellEnd"/>
            <w:r w:rsidRPr="004D6136">
              <w:rPr>
                <w:rFonts w:ascii="Times New Roman" w:hAnsi="Times New Roman" w:cs="Times New Roman"/>
                <w:bCs/>
                <w:color w:val="000000" w:themeColor="text1"/>
                <w:lang w:val="ro-MD"/>
              </w:rPr>
              <w:t xml:space="preserve"> în sectorul public, precum și creditele </w:t>
            </w:r>
            <w:proofErr w:type="spellStart"/>
            <w:r w:rsidRPr="004D6136">
              <w:rPr>
                <w:rFonts w:ascii="Times New Roman" w:hAnsi="Times New Roman" w:cs="Times New Roman"/>
                <w:bCs/>
                <w:color w:val="000000" w:themeColor="text1"/>
                <w:lang w:val="ro-MD"/>
              </w:rPr>
              <w:t>promoţionale</w:t>
            </w:r>
            <w:proofErr w:type="spellEnd"/>
            <w:r w:rsidRPr="004D6136">
              <w:rPr>
                <w:rFonts w:ascii="Times New Roman" w:hAnsi="Times New Roman" w:cs="Times New Roman"/>
                <w:bCs/>
                <w:color w:val="000000" w:themeColor="text1"/>
                <w:lang w:val="ro-MD"/>
              </w:rPr>
              <w:t>;</w:t>
            </w:r>
          </w:p>
          <w:p w14:paraId="237E7C66" w14:textId="77777777" w:rsidR="00951D3F" w:rsidRPr="004D6136" w:rsidRDefault="00951D3F" w:rsidP="00951D3F">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
                <w:color w:val="000000" w:themeColor="text1"/>
                <w:lang w:val="ro-MD"/>
              </w:rPr>
              <w:t>▼M17</w:t>
            </w:r>
          </w:p>
          <w:p w14:paraId="5F906C68" w14:textId="7CFBBE00"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(da) expunerile instituției față de acționarii săi, cu condiția ca aceste expuneri să fie garantate la un nivel de cel puțin 125 % cu activele menționate la articolul 129 alineatul (1) literele (d) și (e), iar activele respective să fie contabilizate în cerința privind indicatorul efectului de levier aplicabilă acționarilor, în cazul în care instituția nu este o instituție de credit pentru dezvoltare publică, dar îndeplinește următoarele condiții:</w:t>
            </w:r>
          </w:p>
          <w:p w14:paraId="76E97180" w14:textId="0EA5711B"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(i) acționarii săi sunt instituții de credit și nu exercită control asupra instituției;</w:t>
            </w:r>
          </w:p>
          <w:p w14:paraId="72CF79C9" w14:textId="63F193A4"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(ii) respectă alineatul (2) literele (a), (b), (c) și (e) de la prezentul articol;</w:t>
            </w:r>
          </w:p>
          <w:p w14:paraId="0FD22935" w14:textId="63DD4B85"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(iii) expunerile sale sunt situate în același stat membru;</w:t>
            </w:r>
          </w:p>
          <w:p w14:paraId="4B19A713" w14:textId="5DE53A3D"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(iv) face în mod continuu obiectul unei anumite forme de supraveghere de către administrația centrală a unui stat membru;</w:t>
            </w:r>
          </w:p>
          <w:p w14:paraId="74990A15" w14:textId="0D1AB54F"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(v) modelul său de afaceri se limitează la operațiuni de tip </w:t>
            </w:r>
            <w:proofErr w:type="spellStart"/>
            <w:r w:rsidRPr="004D6136">
              <w:rPr>
                <w:rFonts w:ascii="Times New Roman" w:hAnsi="Times New Roman" w:cs="Times New Roman"/>
                <w:bCs/>
                <w:color w:val="000000" w:themeColor="text1"/>
                <w:lang w:val="ro-MD"/>
              </w:rPr>
              <w:t>pass-through</w:t>
            </w:r>
            <w:proofErr w:type="spellEnd"/>
            <w:r w:rsidRPr="004D6136">
              <w:rPr>
                <w:rFonts w:ascii="Times New Roman" w:hAnsi="Times New Roman" w:cs="Times New Roman"/>
                <w:bCs/>
                <w:color w:val="000000" w:themeColor="text1"/>
                <w:lang w:val="ro-MD"/>
              </w:rPr>
              <w:t xml:space="preserve"> ale sumei corespunzătoare veniturilor </w:t>
            </w:r>
            <w:r w:rsidRPr="004D6136">
              <w:rPr>
                <w:rFonts w:ascii="Times New Roman" w:hAnsi="Times New Roman" w:cs="Times New Roman"/>
                <w:bCs/>
                <w:color w:val="000000" w:themeColor="text1"/>
                <w:lang w:val="ro-MD"/>
              </w:rPr>
              <w:lastRenderedPageBreak/>
              <w:t>obținute prin emiterea de obligațiuni garantate către acționarii săi, sub formă de instrumente de datorie;</w:t>
            </w:r>
          </w:p>
          <w:p w14:paraId="6941AD46" w14:textId="77777777" w:rsidR="00510692" w:rsidRPr="004D6136" w:rsidRDefault="00510692" w:rsidP="00951D3F">
            <w:pPr>
              <w:spacing w:after="0" w:line="276" w:lineRule="auto"/>
              <w:jc w:val="both"/>
              <w:rPr>
                <w:rFonts w:ascii="Times New Roman" w:hAnsi="Times New Roman" w:cs="Times New Roman"/>
                <w:b/>
                <w:color w:val="000000" w:themeColor="text1"/>
                <w:lang w:val="ro-MD"/>
              </w:rPr>
            </w:pPr>
          </w:p>
          <w:p w14:paraId="309BDBFE" w14:textId="1A5F3EC8" w:rsidR="00951D3F" w:rsidRPr="004D6136" w:rsidRDefault="00951D3F" w:rsidP="00510692">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
                <w:color w:val="000000" w:themeColor="text1"/>
                <w:lang w:val="ro-MD"/>
              </w:rPr>
              <w:t>▼M8</w:t>
            </w:r>
            <w:r w:rsidR="00510692" w:rsidRPr="004D6136">
              <w:t xml:space="preserve"> </w:t>
            </w:r>
          </w:p>
          <w:p w14:paraId="2B5A1F35" w14:textId="447CE3BA"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(f) </w:t>
            </w:r>
            <w:proofErr w:type="spellStart"/>
            <w:r w:rsidRPr="004D6136">
              <w:rPr>
                <w:rFonts w:ascii="Times New Roman" w:hAnsi="Times New Roman" w:cs="Times New Roman"/>
                <w:bCs/>
                <w:color w:val="000000" w:themeColor="text1"/>
                <w:lang w:val="ro-MD"/>
              </w:rPr>
              <w:t>părţile</w:t>
            </w:r>
            <w:proofErr w:type="spellEnd"/>
            <w:r w:rsidRPr="004D6136">
              <w:rPr>
                <w:rFonts w:ascii="Times New Roman" w:hAnsi="Times New Roman" w:cs="Times New Roman"/>
                <w:bCs/>
                <w:color w:val="000000" w:themeColor="text1"/>
                <w:lang w:val="ro-MD"/>
              </w:rPr>
              <w:t xml:space="preserve"> garantate ale expunerilor care decurg din credite de export care îndeplinesc cumulativ următoarele două </w:t>
            </w:r>
            <w:proofErr w:type="spellStart"/>
            <w:r w:rsidRPr="004D6136">
              <w:rPr>
                <w:rFonts w:ascii="Times New Roman" w:hAnsi="Times New Roman" w:cs="Times New Roman"/>
                <w:bCs/>
                <w:color w:val="000000" w:themeColor="text1"/>
                <w:lang w:val="ro-MD"/>
              </w:rPr>
              <w:t>condiţii</w:t>
            </w:r>
            <w:proofErr w:type="spellEnd"/>
            <w:r w:rsidRPr="004D6136">
              <w:rPr>
                <w:rFonts w:ascii="Times New Roman" w:hAnsi="Times New Roman" w:cs="Times New Roman"/>
                <w:bCs/>
                <w:color w:val="000000" w:themeColor="text1"/>
                <w:lang w:val="ro-MD"/>
              </w:rPr>
              <w:t>:</w:t>
            </w:r>
          </w:p>
          <w:p w14:paraId="3B54412B" w14:textId="5B9E36D5"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(i) </w:t>
            </w:r>
            <w:proofErr w:type="spellStart"/>
            <w:r w:rsidRPr="004D6136">
              <w:rPr>
                <w:rFonts w:ascii="Times New Roman" w:hAnsi="Times New Roman" w:cs="Times New Roman"/>
                <w:bCs/>
                <w:color w:val="000000" w:themeColor="text1"/>
                <w:lang w:val="ro-MD"/>
              </w:rPr>
              <w:t>garanţia</w:t>
            </w:r>
            <w:proofErr w:type="spellEnd"/>
            <w:r w:rsidRPr="004D6136">
              <w:rPr>
                <w:rFonts w:ascii="Times New Roman" w:hAnsi="Times New Roman" w:cs="Times New Roman"/>
                <w:bCs/>
                <w:color w:val="000000" w:themeColor="text1"/>
                <w:lang w:val="ro-MD"/>
              </w:rPr>
              <w:t xml:space="preserve"> este furnizată de un furnizor eligibil de </w:t>
            </w:r>
            <w:proofErr w:type="spellStart"/>
            <w:r w:rsidRPr="004D6136">
              <w:rPr>
                <w:rFonts w:ascii="Times New Roman" w:hAnsi="Times New Roman" w:cs="Times New Roman"/>
                <w:bCs/>
                <w:color w:val="000000" w:themeColor="text1"/>
                <w:lang w:val="ro-MD"/>
              </w:rPr>
              <w:t>protecţie</w:t>
            </w:r>
            <w:proofErr w:type="spellEnd"/>
            <w:r w:rsidRPr="004D6136">
              <w:rPr>
                <w:rFonts w:ascii="Times New Roman" w:hAnsi="Times New Roman" w:cs="Times New Roman"/>
                <w:bCs/>
                <w:color w:val="000000" w:themeColor="text1"/>
                <w:lang w:val="ro-MD"/>
              </w:rPr>
              <w:t xml:space="preserve"> </w:t>
            </w:r>
            <w:proofErr w:type="spellStart"/>
            <w:r w:rsidRPr="004D6136">
              <w:rPr>
                <w:rFonts w:ascii="Times New Roman" w:hAnsi="Times New Roman" w:cs="Times New Roman"/>
                <w:bCs/>
                <w:color w:val="000000" w:themeColor="text1"/>
                <w:lang w:val="ro-MD"/>
              </w:rPr>
              <w:t>nefinanţată</w:t>
            </w:r>
            <w:proofErr w:type="spellEnd"/>
            <w:r w:rsidRPr="004D6136">
              <w:rPr>
                <w:rFonts w:ascii="Times New Roman" w:hAnsi="Times New Roman" w:cs="Times New Roman"/>
                <w:bCs/>
                <w:color w:val="000000" w:themeColor="text1"/>
                <w:lang w:val="ro-MD"/>
              </w:rPr>
              <w:t xml:space="preserve"> a creditului în conformitate cu articolele 201 și 202, inclusiv de </w:t>
            </w:r>
            <w:proofErr w:type="spellStart"/>
            <w:r w:rsidRPr="004D6136">
              <w:rPr>
                <w:rFonts w:ascii="Times New Roman" w:hAnsi="Times New Roman" w:cs="Times New Roman"/>
                <w:bCs/>
                <w:color w:val="000000" w:themeColor="text1"/>
                <w:lang w:val="ro-MD"/>
              </w:rPr>
              <w:t>agenţiile</w:t>
            </w:r>
            <w:proofErr w:type="spellEnd"/>
            <w:r w:rsidRPr="004D6136">
              <w:rPr>
                <w:rFonts w:ascii="Times New Roman" w:hAnsi="Times New Roman" w:cs="Times New Roman"/>
                <w:bCs/>
                <w:color w:val="000000" w:themeColor="text1"/>
                <w:lang w:val="ro-MD"/>
              </w:rPr>
              <w:t xml:space="preserve"> de creditare a exportului sau de </w:t>
            </w:r>
            <w:proofErr w:type="spellStart"/>
            <w:r w:rsidRPr="004D6136">
              <w:rPr>
                <w:rFonts w:ascii="Times New Roman" w:hAnsi="Times New Roman" w:cs="Times New Roman"/>
                <w:bCs/>
                <w:color w:val="000000" w:themeColor="text1"/>
                <w:lang w:val="ro-MD"/>
              </w:rPr>
              <w:t>administraţiile</w:t>
            </w:r>
            <w:proofErr w:type="spellEnd"/>
            <w:r w:rsidRPr="004D6136">
              <w:rPr>
                <w:rFonts w:ascii="Times New Roman" w:hAnsi="Times New Roman" w:cs="Times New Roman"/>
                <w:bCs/>
                <w:color w:val="000000" w:themeColor="text1"/>
                <w:lang w:val="ro-MD"/>
              </w:rPr>
              <w:t xml:space="preserve"> centrale;</w:t>
            </w:r>
          </w:p>
          <w:p w14:paraId="04726C15" w14:textId="75CAFF28"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(ii) se aplică o pondere de risc de 0 % </w:t>
            </w:r>
            <w:proofErr w:type="spellStart"/>
            <w:r w:rsidRPr="004D6136">
              <w:rPr>
                <w:rFonts w:ascii="Times New Roman" w:hAnsi="Times New Roman" w:cs="Times New Roman"/>
                <w:bCs/>
                <w:color w:val="000000" w:themeColor="text1"/>
                <w:lang w:val="ro-MD"/>
              </w:rPr>
              <w:t>părţii</w:t>
            </w:r>
            <w:proofErr w:type="spellEnd"/>
            <w:r w:rsidRPr="004D6136">
              <w:rPr>
                <w:rFonts w:ascii="Times New Roman" w:hAnsi="Times New Roman" w:cs="Times New Roman"/>
                <w:bCs/>
                <w:color w:val="000000" w:themeColor="text1"/>
                <w:lang w:val="ro-MD"/>
              </w:rPr>
              <w:t xml:space="preserve"> garantate a expunerii în conformitate cu articolul 114 alineatul (2) sau (4) sau cu articolul 116 alineatul (4);</w:t>
            </w:r>
          </w:p>
          <w:p w14:paraId="42798757" w14:textId="77777777"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(g) în cazul în care </w:t>
            </w:r>
            <w:proofErr w:type="spellStart"/>
            <w:r w:rsidRPr="004D6136">
              <w:rPr>
                <w:rFonts w:ascii="Times New Roman" w:hAnsi="Times New Roman" w:cs="Times New Roman"/>
                <w:bCs/>
                <w:color w:val="000000" w:themeColor="text1"/>
                <w:lang w:val="ro-MD"/>
              </w:rPr>
              <w:t>instituţia</w:t>
            </w:r>
            <w:proofErr w:type="spellEnd"/>
            <w:r w:rsidRPr="004D6136">
              <w:rPr>
                <w:rFonts w:ascii="Times New Roman" w:hAnsi="Times New Roman" w:cs="Times New Roman"/>
                <w:bCs/>
                <w:color w:val="000000" w:themeColor="text1"/>
                <w:lang w:val="ro-MD"/>
              </w:rPr>
              <w:t xml:space="preserve"> este membru compensator al unui CPCC, expunerile din </w:t>
            </w:r>
            <w:proofErr w:type="spellStart"/>
            <w:r w:rsidRPr="004D6136">
              <w:rPr>
                <w:rFonts w:ascii="Times New Roman" w:hAnsi="Times New Roman" w:cs="Times New Roman"/>
                <w:bCs/>
                <w:color w:val="000000" w:themeColor="text1"/>
                <w:lang w:val="ro-MD"/>
              </w:rPr>
              <w:t>tranzacţii</w:t>
            </w:r>
            <w:proofErr w:type="spellEnd"/>
            <w:r w:rsidRPr="004D6136">
              <w:rPr>
                <w:rFonts w:ascii="Times New Roman" w:hAnsi="Times New Roman" w:cs="Times New Roman"/>
                <w:bCs/>
                <w:color w:val="000000" w:themeColor="text1"/>
                <w:lang w:val="ro-MD"/>
              </w:rPr>
              <w:t xml:space="preserve"> ale </w:t>
            </w:r>
            <w:proofErr w:type="spellStart"/>
            <w:r w:rsidRPr="004D6136">
              <w:rPr>
                <w:rFonts w:ascii="Times New Roman" w:hAnsi="Times New Roman" w:cs="Times New Roman"/>
                <w:bCs/>
                <w:color w:val="000000" w:themeColor="text1"/>
                <w:lang w:val="ro-MD"/>
              </w:rPr>
              <w:t>instituţiei</w:t>
            </w:r>
            <w:proofErr w:type="spellEnd"/>
            <w:r w:rsidRPr="004D6136">
              <w:rPr>
                <w:rFonts w:ascii="Times New Roman" w:hAnsi="Times New Roman" w:cs="Times New Roman"/>
                <w:bCs/>
                <w:color w:val="000000" w:themeColor="text1"/>
                <w:lang w:val="ro-MD"/>
              </w:rPr>
              <w:t xml:space="preserve"> respective, cu </w:t>
            </w:r>
            <w:proofErr w:type="spellStart"/>
            <w:r w:rsidRPr="004D6136">
              <w:rPr>
                <w:rFonts w:ascii="Times New Roman" w:hAnsi="Times New Roman" w:cs="Times New Roman"/>
                <w:bCs/>
                <w:color w:val="000000" w:themeColor="text1"/>
                <w:lang w:val="ro-MD"/>
              </w:rPr>
              <w:t>condiţia</w:t>
            </w:r>
            <w:proofErr w:type="spellEnd"/>
            <w:r w:rsidRPr="004D6136">
              <w:rPr>
                <w:rFonts w:ascii="Times New Roman" w:hAnsi="Times New Roman" w:cs="Times New Roman"/>
                <w:bCs/>
                <w:color w:val="000000" w:themeColor="text1"/>
                <w:lang w:val="ro-MD"/>
              </w:rPr>
              <w:t xml:space="preserve"> ca acestea să fie compensate cu respectivul CPCC și să îndeplinească </w:t>
            </w:r>
            <w:proofErr w:type="spellStart"/>
            <w:r w:rsidRPr="004D6136">
              <w:rPr>
                <w:rFonts w:ascii="Times New Roman" w:hAnsi="Times New Roman" w:cs="Times New Roman"/>
                <w:bCs/>
                <w:color w:val="000000" w:themeColor="text1"/>
                <w:lang w:val="ro-MD"/>
              </w:rPr>
              <w:t>condiţiile</w:t>
            </w:r>
            <w:proofErr w:type="spellEnd"/>
            <w:r w:rsidRPr="004D6136">
              <w:rPr>
                <w:rFonts w:ascii="Times New Roman" w:hAnsi="Times New Roman" w:cs="Times New Roman"/>
                <w:bCs/>
                <w:color w:val="000000" w:themeColor="text1"/>
                <w:lang w:val="ro-MD"/>
              </w:rPr>
              <w:t xml:space="preserve"> prevăzute la articolul 306 alineatul (1) litera (c);</w:t>
            </w:r>
          </w:p>
          <w:p w14:paraId="3B776888" w14:textId="317D0A84"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(h) în cazul în care </w:t>
            </w:r>
            <w:proofErr w:type="spellStart"/>
            <w:r w:rsidRPr="004D6136">
              <w:rPr>
                <w:rFonts w:ascii="Times New Roman" w:hAnsi="Times New Roman" w:cs="Times New Roman"/>
                <w:bCs/>
                <w:color w:val="000000" w:themeColor="text1"/>
                <w:lang w:val="ro-MD"/>
              </w:rPr>
              <w:t>instituţia</w:t>
            </w:r>
            <w:proofErr w:type="spellEnd"/>
            <w:r w:rsidRPr="004D6136">
              <w:rPr>
                <w:rFonts w:ascii="Times New Roman" w:hAnsi="Times New Roman" w:cs="Times New Roman"/>
                <w:bCs/>
                <w:color w:val="000000" w:themeColor="text1"/>
                <w:lang w:val="ro-MD"/>
              </w:rPr>
              <w:t xml:space="preserve"> este un client de nivel superior în cadrul unei structuri a clientelei pe mai multe niveluri, expunerile din </w:t>
            </w:r>
            <w:proofErr w:type="spellStart"/>
            <w:r w:rsidRPr="004D6136">
              <w:rPr>
                <w:rFonts w:ascii="Times New Roman" w:hAnsi="Times New Roman" w:cs="Times New Roman"/>
                <w:bCs/>
                <w:color w:val="000000" w:themeColor="text1"/>
                <w:lang w:val="ro-MD"/>
              </w:rPr>
              <w:t>tranzacţii</w:t>
            </w:r>
            <w:proofErr w:type="spellEnd"/>
            <w:r w:rsidRPr="004D6136">
              <w:rPr>
                <w:rFonts w:ascii="Times New Roman" w:hAnsi="Times New Roman" w:cs="Times New Roman"/>
                <w:bCs/>
                <w:color w:val="000000" w:themeColor="text1"/>
                <w:lang w:val="ro-MD"/>
              </w:rPr>
              <w:t xml:space="preserve"> </w:t>
            </w:r>
            <w:proofErr w:type="spellStart"/>
            <w:r w:rsidRPr="004D6136">
              <w:rPr>
                <w:rFonts w:ascii="Times New Roman" w:hAnsi="Times New Roman" w:cs="Times New Roman"/>
                <w:bCs/>
                <w:color w:val="000000" w:themeColor="text1"/>
                <w:lang w:val="ro-MD"/>
              </w:rPr>
              <w:t>faţă</w:t>
            </w:r>
            <w:proofErr w:type="spellEnd"/>
            <w:r w:rsidRPr="004D6136">
              <w:rPr>
                <w:rFonts w:ascii="Times New Roman" w:hAnsi="Times New Roman" w:cs="Times New Roman"/>
                <w:bCs/>
                <w:color w:val="000000" w:themeColor="text1"/>
                <w:lang w:val="ro-MD"/>
              </w:rPr>
              <w:t xml:space="preserve"> de membrul compensator sau de o entitate care </w:t>
            </w:r>
            <w:proofErr w:type="spellStart"/>
            <w:r w:rsidRPr="004D6136">
              <w:rPr>
                <w:rFonts w:ascii="Times New Roman" w:hAnsi="Times New Roman" w:cs="Times New Roman"/>
                <w:bCs/>
                <w:color w:val="000000" w:themeColor="text1"/>
                <w:lang w:val="ro-MD"/>
              </w:rPr>
              <w:t>acţionează</w:t>
            </w:r>
            <w:proofErr w:type="spellEnd"/>
            <w:r w:rsidRPr="004D6136">
              <w:rPr>
                <w:rFonts w:ascii="Times New Roman" w:hAnsi="Times New Roman" w:cs="Times New Roman"/>
                <w:bCs/>
                <w:color w:val="000000" w:themeColor="text1"/>
                <w:lang w:val="ro-MD"/>
              </w:rPr>
              <w:t xml:space="preserve"> în calitate de client de nivel superior pentru respectiva</w:t>
            </w:r>
          </w:p>
          <w:p w14:paraId="7E5810C4" w14:textId="322B1F83" w:rsidR="00951D3F" w:rsidRPr="004D6136" w:rsidRDefault="00951D3F" w:rsidP="00951D3F">
            <w:pPr>
              <w:spacing w:after="0" w:line="276" w:lineRule="auto"/>
              <w:jc w:val="both"/>
              <w:rPr>
                <w:rFonts w:ascii="Times New Roman" w:hAnsi="Times New Roman" w:cs="Times New Roman"/>
                <w:bCs/>
                <w:color w:val="000000" w:themeColor="text1"/>
                <w:lang w:val="ro-MD"/>
              </w:rPr>
            </w:pPr>
            <w:proofErr w:type="spellStart"/>
            <w:r w:rsidRPr="004D6136">
              <w:rPr>
                <w:rFonts w:ascii="Times New Roman" w:hAnsi="Times New Roman" w:cs="Times New Roman"/>
                <w:bCs/>
                <w:color w:val="000000" w:themeColor="text1"/>
                <w:lang w:val="ro-MD"/>
              </w:rPr>
              <w:t>instituţie</w:t>
            </w:r>
            <w:proofErr w:type="spellEnd"/>
            <w:r w:rsidRPr="004D6136">
              <w:rPr>
                <w:rFonts w:ascii="Times New Roman" w:hAnsi="Times New Roman" w:cs="Times New Roman"/>
                <w:bCs/>
                <w:color w:val="000000" w:themeColor="text1"/>
                <w:lang w:val="ro-MD"/>
              </w:rPr>
              <w:t xml:space="preserve">, dacă sunt îndeplinite </w:t>
            </w:r>
            <w:proofErr w:type="spellStart"/>
            <w:r w:rsidRPr="004D6136">
              <w:rPr>
                <w:rFonts w:ascii="Times New Roman" w:hAnsi="Times New Roman" w:cs="Times New Roman"/>
                <w:bCs/>
                <w:color w:val="000000" w:themeColor="text1"/>
                <w:lang w:val="ro-MD"/>
              </w:rPr>
              <w:t>condiţiile</w:t>
            </w:r>
            <w:proofErr w:type="spellEnd"/>
            <w:r w:rsidRPr="004D6136">
              <w:rPr>
                <w:rFonts w:ascii="Times New Roman" w:hAnsi="Times New Roman" w:cs="Times New Roman"/>
                <w:bCs/>
                <w:color w:val="000000" w:themeColor="text1"/>
                <w:lang w:val="ro-MD"/>
              </w:rPr>
              <w:t xml:space="preserve"> prevăzute la articolul 305 alineatul (2) și dacă </w:t>
            </w:r>
            <w:proofErr w:type="spellStart"/>
            <w:r w:rsidRPr="004D6136">
              <w:rPr>
                <w:rFonts w:ascii="Times New Roman" w:hAnsi="Times New Roman" w:cs="Times New Roman"/>
                <w:bCs/>
                <w:color w:val="000000" w:themeColor="text1"/>
                <w:lang w:val="ro-MD"/>
              </w:rPr>
              <w:t>instituţia</w:t>
            </w:r>
            <w:proofErr w:type="spellEnd"/>
            <w:r w:rsidRPr="004D6136">
              <w:rPr>
                <w:rFonts w:ascii="Times New Roman" w:hAnsi="Times New Roman" w:cs="Times New Roman"/>
                <w:bCs/>
                <w:color w:val="000000" w:themeColor="text1"/>
                <w:lang w:val="ro-MD"/>
              </w:rPr>
              <w:t xml:space="preserve"> nu are </w:t>
            </w:r>
            <w:proofErr w:type="spellStart"/>
            <w:r w:rsidRPr="004D6136">
              <w:rPr>
                <w:rFonts w:ascii="Times New Roman" w:hAnsi="Times New Roman" w:cs="Times New Roman"/>
                <w:bCs/>
                <w:color w:val="000000" w:themeColor="text1"/>
                <w:lang w:val="ro-MD"/>
              </w:rPr>
              <w:lastRenderedPageBreak/>
              <w:t>obligaţia</w:t>
            </w:r>
            <w:proofErr w:type="spellEnd"/>
            <w:r w:rsidRPr="004D6136">
              <w:rPr>
                <w:rFonts w:ascii="Times New Roman" w:hAnsi="Times New Roman" w:cs="Times New Roman"/>
                <w:bCs/>
                <w:color w:val="000000" w:themeColor="text1"/>
                <w:lang w:val="ro-MD"/>
              </w:rPr>
              <w:t xml:space="preserve"> de a rambursa clientului său pierderile eventuale suferite în cazul intrării în stare de nerambursare a membrului compensator sau a CPCC-ului;</w:t>
            </w:r>
          </w:p>
          <w:p w14:paraId="13883973" w14:textId="77777777"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(i) activele fiduciare care îndeplinesc cumulativ următoarele </w:t>
            </w:r>
            <w:proofErr w:type="spellStart"/>
            <w:r w:rsidRPr="004D6136">
              <w:rPr>
                <w:rFonts w:ascii="Times New Roman" w:hAnsi="Times New Roman" w:cs="Times New Roman"/>
                <w:bCs/>
                <w:color w:val="000000" w:themeColor="text1"/>
                <w:lang w:val="ro-MD"/>
              </w:rPr>
              <w:t>condiţii</w:t>
            </w:r>
            <w:proofErr w:type="spellEnd"/>
            <w:r w:rsidRPr="004D6136">
              <w:rPr>
                <w:rFonts w:ascii="Times New Roman" w:hAnsi="Times New Roman" w:cs="Times New Roman"/>
                <w:bCs/>
                <w:color w:val="000000" w:themeColor="text1"/>
                <w:lang w:val="ro-MD"/>
              </w:rPr>
              <w:t>:</w:t>
            </w:r>
          </w:p>
          <w:p w14:paraId="5637DAC0" w14:textId="20B40D1D"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(i) sunt recunoscute în </w:t>
            </w:r>
            <w:proofErr w:type="spellStart"/>
            <w:r w:rsidRPr="004D6136">
              <w:rPr>
                <w:rFonts w:ascii="Times New Roman" w:hAnsi="Times New Roman" w:cs="Times New Roman"/>
                <w:bCs/>
                <w:color w:val="000000" w:themeColor="text1"/>
                <w:lang w:val="ro-MD"/>
              </w:rPr>
              <w:t>bilanţul</w:t>
            </w:r>
            <w:proofErr w:type="spellEnd"/>
            <w:r w:rsidRPr="004D6136">
              <w:rPr>
                <w:rFonts w:ascii="Times New Roman" w:hAnsi="Times New Roman" w:cs="Times New Roman"/>
                <w:bCs/>
                <w:color w:val="000000" w:themeColor="text1"/>
                <w:lang w:val="ro-MD"/>
              </w:rPr>
              <w:t xml:space="preserve"> </w:t>
            </w:r>
            <w:proofErr w:type="spellStart"/>
            <w:r w:rsidRPr="004D6136">
              <w:rPr>
                <w:rFonts w:ascii="Times New Roman" w:hAnsi="Times New Roman" w:cs="Times New Roman"/>
                <w:bCs/>
                <w:color w:val="000000" w:themeColor="text1"/>
                <w:lang w:val="ro-MD"/>
              </w:rPr>
              <w:t>instituţiei</w:t>
            </w:r>
            <w:proofErr w:type="spellEnd"/>
            <w:r w:rsidRPr="004D6136">
              <w:rPr>
                <w:rFonts w:ascii="Times New Roman" w:hAnsi="Times New Roman" w:cs="Times New Roman"/>
                <w:bCs/>
                <w:color w:val="000000" w:themeColor="text1"/>
                <w:lang w:val="ro-MD"/>
              </w:rPr>
              <w:t xml:space="preserve"> în </w:t>
            </w:r>
            <w:proofErr w:type="spellStart"/>
            <w:r w:rsidRPr="004D6136">
              <w:rPr>
                <w:rFonts w:ascii="Times New Roman" w:hAnsi="Times New Roman" w:cs="Times New Roman"/>
                <w:bCs/>
                <w:color w:val="000000" w:themeColor="text1"/>
                <w:lang w:val="ro-MD"/>
              </w:rPr>
              <w:t>concordanţă</w:t>
            </w:r>
            <w:proofErr w:type="spellEnd"/>
            <w:r w:rsidRPr="004D6136">
              <w:rPr>
                <w:rFonts w:ascii="Times New Roman" w:hAnsi="Times New Roman" w:cs="Times New Roman"/>
                <w:bCs/>
                <w:color w:val="000000" w:themeColor="text1"/>
                <w:lang w:val="ro-MD"/>
              </w:rPr>
              <w:t xml:space="preserve"> cu principiile contabile </w:t>
            </w:r>
            <w:proofErr w:type="spellStart"/>
            <w:r w:rsidRPr="004D6136">
              <w:rPr>
                <w:rFonts w:ascii="Times New Roman" w:hAnsi="Times New Roman" w:cs="Times New Roman"/>
                <w:bCs/>
                <w:color w:val="000000" w:themeColor="text1"/>
                <w:lang w:val="ro-MD"/>
              </w:rPr>
              <w:t>naţionale</w:t>
            </w:r>
            <w:proofErr w:type="spellEnd"/>
            <w:r w:rsidRPr="004D6136">
              <w:rPr>
                <w:rFonts w:ascii="Times New Roman" w:hAnsi="Times New Roman" w:cs="Times New Roman"/>
                <w:bCs/>
                <w:color w:val="000000" w:themeColor="text1"/>
                <w:lang w:val="ro-MD"/>
              </w:rPr>
              <w:t xml:space="preserve"> general acceptate, în conformitate cu articolul 10 din Directiva 86/635/CEE;</w:t>
            </w:r>
          </w:p>
          <w:p w14:paraId="0218151F" w14:textId="7B8B8C45"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(ii) îndeplinesc criteriile pentru </w:t>
            </w:r>
            <w:proofErr w:type="spellStart"/>
            <w:r w:rsidRPr="004D6136">
              <w:rPr>
                <w:rFonts w:ascii="Times New Roman" w:hAnsi="Times New Roman" w:cs="Times New Roman"/>
                <w:bCs/>
                <w:color w:val="000000" w:themeColor="text1"/>
                <w:lang w:val="ro-MD"/>
              </w:rPr>
              <w:t>derecunoaștere</w:t>
            </w:r>
            <w:proofErr w:type="spellEnd"/>
            <w:r w:rsidRPr="004D6136">
              <w:rPr>
                <w:rFonts w:ascii="Times New Roman" w:hAnsi="Times New Roman" w:cs="Times New Roman"/>
                <w:bCs/>
                <w:color w:val="000000" w:themeColor="text1"/>
                <w:lang w:val="ro-MD"/>
              </w:rPr>
              <w:t xml:space="preserve"> prevăzute de standardul </w:t>
            </w:r>
            <w:proofErr w:type="spellStart"/>
            <w:r w:rsidRPr="004D6136">
              <w:rPr>
                <w:rFonts w:ascii="Times New Roman" w:hAnsi="Times New Roman" w:cs="Times New Roman"/>
                <w:bCs/>
                <w:color w:val="000000" w:themeColor="text1"/>
                <w:lang w:val="ro-MD"/>
              </w:rPr>
              <w:t>internaţional</w:t>
            </w:r>
            <w:proofErr w:type="spellEnd"/>
            <w:r w:rsidRPr="004D6136">
              <w:rPr>
                <w:rFonts w:ascii="Times New Roman" w:hAnsi="Times New Roman" w:cs="Times New Roman"/>
                <w:bCs/>
                <w:color w:val="000000" w:themeColor="text1"/>
                <w:lang w:val="ro-MD"/>
              </w:rPr>
              <w:t xml:space="preserve"> de raportare financiară (IFRS) 9, astfel cum sunt aplicate în conformitate cu Regulamentul (CE) nr. 1606/2002;</w:t>
            </w:r>
          </w:p>
          <w:p w14:paraId="1C066CCB" w14:textId="61E7AC93"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(iii) îndeplinesc criteriile pentru neconsolidare prevăzute de IFRS 10, astfel cum sunt aplicate în conformitate cu Regulamentul (CE) nr. 1606/2002, dacă este cazul;</w:t>
            </w:r>
          </w:p>
          <w:p w14:paraId="3D8861AB" w14:textId="77777777"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(j) expunerile care îndeplinesc cumulativ următoarele </w:t>
            </w:r>
            <w:proofErr w:type="spellStart"/>
            <w:r w:rsidRPr="004D6136">
              <w:rPr>
                <w:rFonts w:ascii="Times New Roman" w:hAnsi="Times New Roman" w:cs="Times New Roman"/>
                <w:bCs/>
                <w:color w:val="000000" w:themeColor="text1"/>
                <w:lang w:val="ro-MD"/>
              </w:rPr>
              <w:t>condiţii</w:t>
            </w:r>
            <w:proofErr w:type="spellEnd"/>
            <w:r w:rsidRPr="004D6136">
              <w:rPr>
                <w:rFonts w:ascii="Times New Roman" w:hAnsi="Times New Roman" w:cs="Times New Roman"/>
                <w:bCs/>
                <w:color w:val="000000" w:themeColor="text1"/>
                <w:lang w:val="ro-MD"/>
              </w:rPr>
              <w:t>:</w:t>
            </w:r>
          </w:p>
          <w:p w14:paraId="3417A042" w14:textId="77777777"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(i) sunt expuneri </w:t>
            </w:r>
            <w:proofErr w:type="spellStart"/>
            <w:r w:rsidRPr="004D6136">
              <w:rPr>
                <w:rFonts w:ascii="Times New Roman" w:hAnsi="Times New Roman" w:cs="Times New Roman"/>
                <w:bCs/>
                <w:color w:val="000000" w:themeColor="text1"/>
                <w:lang w:val="ro-MD"/>
              </w:rPr>
              <w:t>faţă</w:t>
            </w:r>
            <w:proofErr w:type="spellEnd"/>
            <w:r w:rsidRPr="004D6136">
              <w:rPr>
                <w:rFonts w:ascii="Times New Roman" w:hAnsi="Times New Roman" w:cs="Times New Roman"/>
                <w:bCs/>
                <w:color w:val="000000" w:themeColor="text1"/>
                <w:lang w:val="ro-MD"/>
              </w:rPr>
              <w:t xml:space="preserve"> de o entitate din sectorul public;</w:t>
            </w:r>
          </w:p>
          <w:p w14:paraId="096BD43A" w14:textId="77777777"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(ii) sunt tratate în conformitate cu articolul 116 alineatul (4);</w:t>
            </w:r>
          </w:p>
          <w:p w14:paraId="43AEBEBA" w14:textId="0940CFC0"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(iii) rezultă din depozite pe care </w:t>
            </w:r>
            <w:proofErr w:type="spellStart"/>
            <w:r w:rsidRPr="004D6136">
              <w:rPr>
                <w:rFonts w:ascii="Times New Roman" w:hAnsi="Times New Roman" w:cs="Times New Roman"/>
                <w:bCs/>
                <w:color w:val="000000" w:themeColor="text1"/>
                <w:lang w:val="ro-MD"/>
              </w:rPr>
              <w:t>instituţia</w:t>
            </w:r>
            <w:proofErr w:type="spellEnd"/>
            <w:r w:rsidRPr="004D6136">
              <w:rPr>
                <w:rFonts w:ascii="Times New Roman" w:hAnsi="Times New Roman" w:cs="Times New Roman"/>
                <w:bCs/>
                <w:color w:val="000000" w:themeColor="text1"/>
                <w:lang w:val="ro-MD"/>
              </w:rPr>
              <w:t xml:space="preserve"> are </w:t>
            </w:r>
            <w:proofErr w:type="spellStart"/>
            <w:r w:rsidRPr="004D6136">
              <w:rPr>
                <w:rFonts w:ascii="Times New Roman" w:hAnsi="Times New Roman" w:cs="Times New Roman"/>
                <w:bCs/>
                <w:color w:val="000000" w:themeColor="text1"/>
                <w:lang w:val="ro-MD"/>
              </w:rPr>
              <w:t>obligaţia</w:t>
            </w:r>
            <w:proofErr w:type="spellEnd"/>
            <w:r w:rsidRPr="004D6136">
              <w:rPr>
                <w:rFonts w:ascii="Times New Roman" w:hAnsi="Times New Roman" w:cs="Times New Roman"/>
                <w:bCs/>
                <w:color w:val="000000" w:themeColor="text1"/>
                <w:lang w:val="ro-MD"/>
              </w:rPr>
              <w:t xml:space="preserve"> legală de a le transfera către entitatea din sectorul </w:t>
            </w:r>
            <w:r w:rsidRPr="004D6136">
              <w:rPr>
                <w:rFonts w:ascii="Times New Roman" w:hAnsi="Times New Roman" w:cs="Times New Roman"/>
                <w:bCs/>
                <w:color w:val="000000" w:themeColor="text1"/>
                <w:lang w:val="ro-MD"/>
              </w:rPr>
              <w:lastRenderedPageBreak/>
              <w:t xml:space="preserve">public </w:t>
            </w:r>
            <w:proofErr w:type="spellStart"/>
            <w:r w:rsidRPr="004D6136">
              <w:rPr>
                <w:rFonts w:ascii="Times New Roman" w:hAnsi="Times New Roman" w:cs="Times New Roman"/>
                <w:bCs/>
                <w:color w:val="000000" w:themeColor="text1"/>
                <w:lang w:val="ro-MD"/>
              </w:rPr>
              <w:t>menţionată</w:t>
            </w:r>
            <w:proofErr w:type="spellEnd"/>
            <w:r w:rsidRPr="004D6136">
              <w:rPr>
                <w:rFonts w:ascii="Times New Roman" w:hAnsi="Times New Roman" w:cs="Times New Roman"/>
                <w:bCs/>
                <w:color w:val="000000" w:themeColor="text1"/>
                <w:lang w:val="ro-MD"/>
              </w:rPr>
              <w:t xml:space="preserve"> la punctul (i) în scopul </w:t>
            </w:r>
            <w:proofErr w:type="spellStart"/>
            <w:r w:rsidRPr="004D6136">
              <w:rPr>
                <w:rFonts w:ascii="Times New Roman" w:hAnsi="Times New Roman" w:cs="Times New Roman"/>
                <w:bCs/>
                <w:color w:val="000000" w:themeColor="text1"/>
                <w:lang w:val="ro-MD"/>
              </w:rPr>
              <w:t>finanţării</w:t>
            </w:r>
            <w:proofErr w:type="spellEnd"/>
            <w:r w:rsidRPr="004D6136">
              <w:rPr>
                <w:rFonts w:ascii="Times New Roman" w:hAnsi="Times New Roman" w:cs="Times New Roman"/>
                <w:bCs/>
                <w:color w:val="000000" w:themeColor="text1"/>
                <w:lang w:val="ro-MD"/>
              </w:rPr>
              <w:t xml:space="preserve"> de </w:t>
            </w:r>
            <w:proofErr w:type="spellStart"/>
            <w:r w:rsidRPr="004D6136">
              <w:rPr>
                <w:rFonts w:ascii="Times New Roman" w:hAnsi="Times New Roman" w:cs="Times New Roman"/>
                <w:bCs/>
                <w:color w:val="000000" w:themeColor="text1"/>
                <w:lang w:val="ro-MD"/>
              </w:rPr>
              <w:t>investiţii</w:t>
            </w:r>
            <w:proofErr w:type="spellEnd"/>
            <w:r w:rsidRPr="004D6136">
              <w:rPr>
                <w:rFonts w:ascii="Times New Roman" w:hAnsi="Times New Roman" w:cs="Times New Roman"/>
                <w:bCs/>
                <w:color w:val="000000" w:themeColor="text1"/>
                <w:lang w:val="ro-MD"/>
              </w:rPr>
              <w:t xml:space="preserve"> de interes general;</w:t>
            </w:r>
          </w:p>
          <w:p w14:paraId="6F0A5777" w14:textId="30840B37"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(k) </w:t>
            </w:r>
            <w:proofErr w:type="spellStart"/>
            <w:r w:rsidRPr="004D6136">
              <w:rPr>
                <w:rFonts w:ascii="Times New Roman" w:hAnsi="Times New Roman" w:cs="Times New Roman"/>
                <w:bCs/>
                <w:color w:val="000000" w:themeColor="text1"/>
                <w:lang w:val="ro-MD"/>
              </w:rPr>
              <w:t>garanţiile</w:t>
            </w:r>
            <w:proofErr w:type="spellEnd"/>
            <w:r w:rsidRPr="004D6136">
              <w:rPr>
                <w:rFonts w:ascii="Times New Roman" w:hAnsi="Times New Roman" w:cs="Times New Roman"/>
                <w:bCs/>
                <w:color w:val="000000" w:themeColor="text1"/>
                <w:lang w:val="ro-MD"/>
              </w:rPr>
              <w:t xml:space="preserve"> reale excedentare depuse la </w:t>
            </w:r>
            <w:proofErr w:type="spellStart"/>
            <w:r w:rsidRPr="004D6136">
              <w:rPr>
                <w:rFonts w:ascii="Times New Roman" w:hAnsi="Times New Roman" w:cs="Times New Roman"/>
                <w:bCs/>
                <w:color w:val="000000" w:themeColor="text1"/>
                <w:lang w:val="ro-MD"/>
              </w:rPr>
              <w:t>agenţi</w:t>
            </w:r>
            <w:proofErr w:type="spellEnd"/>
            <w:r w:rsidRPr="004D6136">
              <w:rPr>
                <w:rFonts w:ascii="Times New Roman" w:hAnsi="Times New Roman" w:cs="Times New Roman"/>
                <w:bCs/>
                <w:color w:val="000000" w:themeColor="text1"/>
                <w:lang w:val="ro-MD"/>
              </w:rPr>
              <w:t xml:space="preserve"> </w:t>
            </w:r>
            <w:proofErr w:type="spellStart"/>
            <w:r w:rsidRPr="004D6136">
              <w:rPr>
                <w:rFonts w:ascii="Times New Roman" w:hAnsi="Times New Roman" w:cs="Times New Roman"/>
                <w:bCs/>
                <w:color w:val="000000" w:themeColor="text1"/>
                <w:lang w:val="ro-MD"/>
              </w:rPr>
              <w:t>tripartiţi</w:t>
            </w:r>
            <w:proofErr w:type="spellEnd"/>
            <w:r w:rsidRPr="004D6136">
              <w:rPr>
                <w:rFonts w:ascii="Times New Roman" w:hAnsi="Times New Roman" w:cs="Times New Roman"/>
                <w:bCs/>
                <w:color w:val="000000" w:themeColor="text1"/>
                <w:lang w:val="ro-MD"/>
              </w:rPr>
              <w:t xml:space="preserve"> care nu au fost date cu împrumut;</w:t>
            </w:r>
          </w:p>
          <w:p w14:paraId="419BC8A3" w14:textId="056C136D"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(l) în cazul în care, în temeiul cadrului contabil aplicabil, o </w:t>
            </w:r>
            <w:proofErr w:type="spellStart"/>
            <w:r w:rsidRPr="004D6136">
              <w:rPr>
                <w:rFonts w:ascii="Times New Roman" w:hAnsi="Times New Roman" w:cs="Times New Roman"/>
                <w:bCs/>
                <w:color w:val="000000" w:themeColor="text1"/>
                <w:lang w:val="ro-MD"/>
              </w:rPr>
              <w:t>instituţie</w:t>
            </w:r>
            <w:proofErr w:type="spellEnd"/>
            <w:r w:rsidRPr="004D6136">
              <w:rPr>
                <w:rFonts w:ascii="Times New Roman" w:hAnsi="Times New Roman" w:cs="Times New Roman"/>
                <w:bCs/>
                <w:color w:val="000000" w:themeColor="text1"/>
                <w:lang w:val="ro-MD"/>
              </w:rPr>
              <w:t xml:space="preserve"> recunoaște marja de </w:t>
            </w:r>
            <w:proofErr w:type="spellStart"/>
            <w:r w:rsidRPr="004D6136">
              <w:rPr>
                <w:rFonts w:ascii="Times New Roman" w:hAnsi="Times New Roman" w:cs="Times New Roman"/>
                <w:bCs/>
                <w:color w:val="000000" w:themeColor="text1"/>
                <w:lang w:val="ro-MD"/>
              </w:rPr>
              <w:t>variaţie</w:t>
            </w:r>
            <w:proofErr w:type="spellEnd"/>
            <w:r w:rsidRPr="004D6136">
              <w:rPr>
                <w:rFonts w:ascii="Times New Roman" w:hAnsi="Times New Roman" w:cs="Times New Roman"/>
                <w:bCs/>
                <w:color w:val="000000" w:themeColor="text1"/>
                <w:lang w:val="ro-MD"/>
              </w:rPr>
              <w:t xml:space="preserve"> plătită în numerar </w:t>
            </w:r>
            <w:proofErr w:type="spellStart"/>
            <w:r w:rsidRPr="004D6136">
              <w:rPr>
                <w:rFonts w:ascii="Times New Roman" w:hAnsi="Times New Roman" w:cs="Times New Roman"/>
                <w:bCs/>
                <w:color w:val="000000" w:themeColor="text1"/>
                <w:lang w:val="ro-MD"/>
              </w:rPr>
              <w:t>contrapărţii</w:t>
            </w:r>
            <w:proofErr w:type="spellEnd"/>
            <w:r w:rsidRPr="004D6136">
              <w:rPr>
                <w:rFonts w:ascii="Times New Roman" w:hAnsi="Times New Roman" w:cs="Times New Roman"/>
                <w:bCs/>
                <w:color w:val="000000" w:themeColor="text1"/>
                <w:lang w:val="ro-MD"/>
              </w:rPr>
              <w:t xml:space="preserve"> ca </w:t>
            </w:r>
            <w:proofErr w:type="spellStart"/>
            <w:r w:rsidRPr="004D6136">
              <w:rPr>
                <w:rFonts w:ascii="Times New Roman" w:hAnsi="Times New Roman" w:cs="Times New Roman"/>
                <w:bCs/>
                <w:color w:val="000000" w:themeColor="text1"/>
                <w:lang w:val="ro-MD"/>
              </w:rPr>
              <w:t>creanţă</w:t>
            </w:r>
            <w:proofErr w:type="spellEnd"/>
            <w:r w:rsidRPr="004D6136">
              <w:rPr>
                <w:rFonts w:ascii="Times New Roman" w:hAnsi="Times New Roman" w:cs="Times New Roman"/>
                <w:bCs/>
                <w:color w:val="000000" w:themeColor="text1"/>
                <w:lang w:val="ro-MD"/>
              </w:rPr>
              <w:t xml:space="preserve"> de încasat, </w:t>
            </w:r>
            <w:proofErr w:type="spellStart"/>
            <w:r w:rsidRPr="004D6136">
              <w:rPr>
                <w:rFonts w:ascii="Times New Roman" w:hAnsi="Times New Roman" w:cs="Times New Roman"/>
                <w:bCs/>
                <w:color w:val="000000" w:themeColor="text1"/>
                <w:lang w:val="ro-MD"/>
              </w:rPr>
              <w:t>creanţa</w:t>
            </w:r>
            <w:proofErr w:type="spellEnd"/>
            <w:r w:rsidRPr="004D6136">
              <w:rPr>
                <w:rFonts w:ascii="Times New Roman" w:hAnsi="Times New Roman" w:cs="Times New Roman"/>
                <w:bCs/>
                <w:color w:val="000000" w:themeColor="text1"/>
                <w:lang w:val="ro-MD"/>
              </w:rPr>
              <w:t xml:space="preserve"> de încasat respectivă, dacă sunt îndeplinite </w:t>
            </w:r>
            <w:proofErr w:type="spellStart"/>
            <w:r w:rsidRPr="004D6136">
              <w:rPr>
                <w:rFonts w:ascii="Times New Roman" w:hAnsi="Times New Roman" w:cs="Times New Roman"/>
                <w:bCs/>
                <w:color w:val="000000" w:themeColor="text1"/>
                <w:lang w:val="ro-MD"/>
              </w:rPr>
              <w:t>condiţiile</w:t>
            </w:r>
            <w:proofErr w:type="spellEnd"/>
            <w:r w:rsidRPr="004D6136">
              <w:rPr>
                <w:rFonts w:ascii="Times New Roman" w:hAnsi="Times New Roman" w:cs="Times New Roman"/>
                <w:bCs/>
                <w:color w:val="000000" w:themeColor="text1"/>
                <w:lang w:val="ro-MD"/>
              </w:rPr>
              <w:t xml:space="preserve"> prevăzute la articolul 429c alineatul (3) literele (a)-(e);</w:t>
            </w:r>
          </w:p>
          <w:p w14:paraId="78E2C81B" w14:textId="74E95F9F"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(m) expunerile securitizate din securitizări </w:t>
            </w:r>
            <w:proofErr w:type="spellStart"/>
            <w:r w:rsidRPr="004D6136">
              <w:rPr>
                <w:rFonts w:ascii="Times New Roman" w:hAnsi="Times New Roman" w:cs="Times New Roman"/>
                <w:bCs/>
                <w:color w:val="000000" w:themeColor="text1"/>
                <w:lang w:val="ro-MD"/>
              </w:rPr>
              <w:t>tradiţionale</w:t>
            </w:r>
            <w:proofErr w:type="spellEnd"/>
            <w:r w:rsidRPr="004D6136">
              <w:rPr>
                <w:rFonts w:ascii="Times New Roman" w:hAnsi="Times New Roman" w:cs="Times New Roman"/>
                <w:bCs/>
                <w:color w:val="000000" w:themeColor="text1"/>
                <w:lang w:val="ro-MD"/>
              </w:rPr>
              <w:t xml:space="preserve"> care îndeplinesc </w:t>
            </w:r>
            <w:proofErr w:type="spellStart"/>
            <w:r w:rsidRPr="004D6136">
              <w:rPr>
                <w:rFonts w:ascii="Times New Roman" w:hAnsi="Times New Roman" w:cs="Times New Roman"/>
                <w:bCs/>
                <w:color w:val="000000" w:themeColor="text1"/>
                <w:lang w:val="ro-MD"/>
              </w:rPr>
              <w:t>condiţiile</w:t>
            </w:r>
            <w:proofErr w:type="spellEnd"/>
            <w:r w:rsidRPr="004D6136">
              <w:rPr>
                <w:rFonts w:ascii="Times New Roman" w:hAnsi="Times New Roman" w:cs="Times New Roman"/>
                <w:bCs/>
                <w:color w:val="000000" w:themeColor="text1"/>
                <w:lang w:val="ro-MD"/>
              </w:rPr>
              <w:t xml:space="preserve"> transferului riscului semnificativ prevăzute la articolul 244 alineatul (2);</w:t>
            </w:r>
          </w:p>
          <w:p w14:paraId="2F23B330" w14:textId="77777777" w:rsidR="00951D3F" w:rsidRPr="004D6136" w:rsidRDefault="00951D3F" w:rsidP="00951D3F">
            <w:pPr>
              <w:spacing w:after="0" w:line="276" w:lineRule="auto"/>
              <w:jc w:val="both"/>
              <w:rPr>
                <w:rFonts w:ascii="Times New Roman" w:hAnsi="Times New Roman" w:cs="Times New Roman"/>
                <w:b/>
                <w:color w:val="000000" w:themeColor="text1"/>
                <w:lang w:val="ro-MD"/>
              </w:rPr>
            </w:pPr>
            <w:r w:rsidRPr="004D6136">
              <w:rPr>
                <w:rFonts w:ascii="Times New Roman" w:hAnsi="Times New Roman" w:cs="Times New Roman"/>
                <w:b/>
                <w:color w:val="000000" w:themeColor="text1"/>
                <w:lang w:val="ro-MD"/>
              </w:rPr>
              <w:t>▼M11</w:t>
            </w:r>
          </w:p>
          <w:p w14:paraId="54F98D6E" w14:textId="626BFFB4"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(n) următoarele expuneri </w:t>
            </w:r>
            <w:proofErr w:type="spellStart"/>
            <w:r w:rsidRPr="004D6136">
              <w:rPr>
                <w:rFonts w:ascii="Times New Roman" w:hAnsi="Times New Roman" w:cs="Times New Roman"/>
                <w:bCs/>
                <w:color w:val="000000" w:themeColor="text1"/>
                <w:lang w:val="ro-MD"/>
              </w:rPr>
              <w:t>faţă</w:t>
            </w:r>
            <w:proofErr w:type="spellEnd"/>
            <w:r w:rsidRPr="004D6136">
              <w:rPr>
                <w:rFonts w:ascii="Times New Roman" w:hAnsi="Times New Roman" w:cs="Times New Roman"/>
                <w:bCs/>
                <w:color w:val="000000" w:themeColor="text1"/>
                <w:lang w:val="ro-MD"/>
              </w:rPr>
              <w:t xml:space="preserve"> de banca centrală a </w:t>
            </w:r>
            <w:proofErr w:type="spellStart"/>
            <w:r w:rsidRPr="004D6136">
              <w:rPr>
                <w:rFonts w:ascii="Times New Roman" w:hAnsi="Times New Roman" w:cs="Times New Roman"/>
                <w:bCs/>
                <w:color w:val="000000" w:themeColor="text1"/>
                <w:lang w:val="ro-MD"/>
              </w:rPr>
              <w:t>instituţiei</w:t>
            </w:r>
            <w:proofErr w:type="spellEnd"/>
            <w:r w:rsidRPr="004D6136">
              <w:rPr>
                <w:rFonts w:ascii="Times New Roman" w:hAnsi="Times New Roman" w:cs="Times New Roman"/>
                <w:bCs/>
                <w:color w:val="000000" w:themeColor="text1"/>
                <w:lang w:val="ro-MD"/>
              </w:rPr>
              <w:t xml:space="preserve">, sub rezerva </w:t>
            </w:r>
            <w:proofErr w:type="spellStart"/>
            <w:r w:rsidRPr="004D6136">
              <w:rPr>
                <w:rFonts w:ascii="Times New Roman" w:hAnsi="Times New Roman" w:cs="Times New Roman"/>
                <w:bCs/>
                <w:color w:val="000000" w:themeColor="text1"/>
                <w:lang w:val="ro-MD"/>
              </w:rPr>
              <w:t>condiţiilor</w:t>
            </w:r>
            <w:proofErr w:type="spellEnd"/>
            <w:r w:rsidRPr="004D6136">
              <w:rPr>
                <w:rFonts w:ascii="Times New Roman" w:hAnsi="Times New Roman" w:cs="Times New Roman"/>
                <w:bCs/>
                <w:color w:val="000000" w:themeColor="text1"/>
                <w:lang w:val="ro-MD"/>
              </w:rPr>
              <w:t xml:space="preserve"> stabilite la alineatele (5) și (6):</w:t>
            </w:r>
          </w:p>
          <w:p w14:paraId="04B3A56F" w14:textId="77777777" w:rsidR="00951D3F" w:rsidRPr="004D6136" w:rsidRDefault="00951D3F" w:rsidP="00951D3F">
            <w:pPr>
              <w:spacing w:after="0" w:line="276" w:lineRule="auto"/>
              <w:jc w:val="both"/>
              <w:rPr>
                <w:rFonts w:ascii="Times New Roman" w:hAnsi="Times New Roman" w:cs="Times New Roman"/>
                <w:b/>
                <w:color w:val="000000" w:themeColor="text1"/>
                <w:lang w:val="ro-MD"/>
              </w:rPr>
            </w:pPr>
            <w:r w:rsidRPr="004D6136">
              <w:rPr>
                <w:rFonts w:ascii="Times New Roman" w:hAnsi="Times New Roman" w:cs="Times New Roman"/>
                <w:b/>
                <w:color w:val="000000" w:themeColor="text1"/>
                <w:lang w:val="ro-MD"/>
              </w:rPr>
              <w:t>▼M8</w:t>
            </w:r>
          </w:p>
          <w:p w14:paraId="3A40EFD0" w14:textId="2A262AF8"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(i) monede și bancnote care constituie moneda legală în </w:t>
            </w:r>
            <w:proofErr w:type="spellStart"/>
            <w:r w:rsidRPr="004D6136">
              <w:rPr>
                <w:rFonts w:ascii="Times New Roman" w:hAnsi="Times New Roman" w:cs="Times New Roman"/>
                <w:bCs/>
                <w:color w:val="000000" w:themeColor="text1"/>
                <w:lang w:val="ro-MD"/>
              </w:rPr>
              <w:t>jurisdicţia</w:t>
            </w:r>
            <w:proofErr w:type="spellEnd"/>
            <w:r w:rsidRPr="004D6136">
              <w:rPr>
                <w:rFonts w:ascii="Times New Roman" w:hAnsi="Times New Roman" w:cs="Times New Roman"/>
                <w:bCs/>
                <w:color w:val="000000" w:themeColor="text1"/>
                <w:lang w:val="ro-MD"/>
              </w:rPr>
              <w:t xml:space="preserve"> băncii centrale;</w:t>
            </w:r>
          </w:p>
          <w:p w14:paraId="7F41505D" w14:textId="03FD510B"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(ii) active care reprezintă </w:t>
            </w:r>
            <w:proofErr w:type="spellStart"/>
            <w:r w:rsidRPr="004D6136">
              <w:rPr>
                <w:rFonts w:ascii="Times New Roman" w:hAnsi="Times New Roman" w:cs="Times New Roman"/>
                <w:bCs/>
                <w:color w:val="000000" w:themeColor="text1"/>
                <w:lang w:val="ro-MD"/>
              </w:rPr>
              <w:t>creanţe</w:t>
            </w:r>
            <w:proofErr w:type="spellEnd"/>
            <w:r w:rsidRPr="004D6136">
              <w:rPr>
                <w:rFonts w:ascii="Times New Roman" w:hAnsi="Times New Roman" w:cs="Times New Roman"/>
                <w:bCs/>
                <w:color w:val="000000" w:themeColor="text1"/>
                <w:lang w:val="ro-MD"/>
              </w:rPr>
              <w:t xml:space="preserve"> </w:t>
            </w:r>
            <w:proofErr w:type="spellStart"/>
            <w:r w:rsidRPr="004D6136">
              <w:rPr>
                <w:rFonts w:ascii="Times New Roman" w:hAnsi="Times New Roman" w:cs="Times New Roman"/>
                <w:bCs/>
                <w:color w:val="000000" w:themeColor="text1"/>
                <w:lang w:val="ro-MD"/>
              </w:rPr>
              <w:t>faţă</w:t>
            </w:r>
            <w:proofErr w:type="spellEnd"/>
            <w:r w:rsidRPr="004D6136">
              <w:rPr>
                <w:rFonts w:ascii="Times New Roman" w:hAnsi="Times New Roman" w:cs="Times New Roman"/>
                <w:bCs/>
                <w:color w:val="000000" w:themeColor="text1"/>
                <w:lang w:val="ro-MD"/>
              </w:rPr>
              <w:t xml:space="preserve"> de banca centrală, inclusiv rezerve </w:t>
            </w:r>
            <w:proofErr w:type="spellStart"/>
            <w:r w:rsidRPr="004D6136">
              <w:rPr>
                <w:rFonts w:ascii="Times New Roman" w:hAnsi="Times New Roman" w:cs="Times New Roman"/>
                <w:bCs/>
                <w:color w:val="000000" w:themeColor="text1"/>
                <w:lang w:val="ro-MD"/>
              </w:rPr>
              <w:t>deţinute</w:t>
            </w:r>
            <w:proofErr w:type="spellEnd"/>
            <w:r w:rsidRPr="004D6136">
              <w:rPr>
                <w:rFonts w:ascii="Times New Roman" w:hAnsi="Times New Roman" w:cs="Times New Roman"/>
                <w:bCs/>
                <w:color w:val="000000" w:themeColor="text1"/>
                <w:lang w:val="ro-MD"/>
              </w:rPr>
              <w:t xml:space="preserve"> la banca centrală;</w:t>
            </w:r>
          </w:p>
          <w:p w14:paraId="745DDD3C" w14:textId="72702E7C"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(o) în cazul în care </w:t>
            </w:r>
            <w:proofErr w:type="spellStart"/>
            <w:r w:rsidRPr="004D6136">
              <w:rPr>
                <w:rFonts w:ascii="Times New Roman" w:hAnsi="Times New Roman" w:cs="Times New Roman"/>
                <w:bCs/>
                <w:color w:val="000000" w:themeColor="text1"/>
                <w:lang w:val="ro-MD"/>
              </w:rPr>
              <w:t>instituţia</w:t>
            </w:r>
            <w:proofErr w:type="spellEnd"/>
            <w:r w:rsidRPr="004D6136">
              <w:rPr>
                <w:rFonts w:ascii="Times New Roman" w:hAnsi="Times New Roman" w:cs="Times New Roman"/>
                <w:bCs/>
                <w:color w:val="000000" w:themeColor="text1"/>
                <w:lang w:val="ro-MD"/>
              </w:rPr>
              <w:t xml:space="preserve"> este autorizată, în conformitate cu articolul 16 și cu articolul 54 alineatul (2) litera (a) din Regulamentul (UE) nr. 909/2014, </w:t>
            </w:r>
            <w:r w:rsidRPr="004D6136">
              <w:rPr>
                <w:rFonts w:ascii="Times New Roman" w:hAnsi="Times New Roman" w:cs="Times New Roman"/>
                <w:bCs/>
                <w:color w:val="000000" w:themeColor="text1"/>
                <w:lang w:val="ro-MD"/>
              </w:rPr>
              <w:lastRenderedPageBreak/>
              <w:t xml:space="preserve">expunerile </w:t>
            </w:r>
            <w:proofErr w:type="spellStart"/>
            <w:r w:rsidRPr="004D6136">
              <w:rPr>
                <w:rFonts w:ascii="Times New Roman" w:hAnsi="Times New Roman" w:cs="Times New Roman"/>
                <w:bCs/>
                <w:color w:val="000000" w:themeColor="text1"/>
                <w:lang w:val="ro-MD"/>
              </w:rPr>
              <w:t>instituţiei</w:t>
            </w:r>
            <w:proofErr w:type="spellEnd"/>
            <w:r w:rsidRPr="004D6136">
              <w:rPr>
                <w:rFonts w:ascii="Times New Roman" w:hAnsi="Times New Roman" w:cs="Times New Roman"/>
                <w:bCs/>
                <w:color w:val="000000" w:themeColor="text1"/>
                <w:lang w:val="ro-MD"/>
              </w:rPr>
              <w:t xml:space="preserve"> datorate serviciilor auxiliare de tip bancar enumerate la </w:t>
            </w:r>
            <w:proofErr w:type="spellStart"/>
            <w:r w:rsidRPr="004D6136">
              <w:rPr>
                <w:rFonts w:ascii="Times New Roman" w:hAnsi="Times New Roman" w:cs="Times New Roman"/>
                <w:bCs/>
                <w:color w:val="000000" w:themeColor="text1"/>
                <w:lang w:val="ro-MD"/>
              </w:rPr>
              <w:t>secţiunea</w:t>
            </w:r>
            <w:proofErr w:type="spellEnd"/>
            <w:r w:rsidRPr="004D6136">
              <w:rPr>
                <w:rFonts w:ascii="Times New Roman" w:hAnsi="Times New Roman" w:cs="Times New Roman"/>
                <w:bCs/>
                <w:color w:val="000000" w:themeColor="text1"/>
                <w:lang w:val="ro-MD"/>
              </w:rPr>
              <w:t xml:space="preserve"> C litera (a) din anexa</w:t>
            </w:r>
          </w:p>
          <w:p w14:paraId="33CD84EC" w14:textId="77777777"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la regulamentul respectiv care sunt legate în mod direct de servicii de bază sau de servicii auxiliare enumerate în </w:t>
            </w:r>
            <w:proofErr w:type="spellStart"/>
            <w:r w:rsidRPr="004D6136">
              <w:rPr>
                <w:rFonts w:ascii="Times New Roman" w:hAnsi="Times New Roman" w:cs="Times New Roman"/>
                <w:bCs/>
                <w:color w:val="000000" w:themeColor="text1"/>
                <w:lang w:val="ro-MD"/>
              </w:rPr>
              <w:t>secţiunile</w:t>
            </w:r>
            <w:proofErr w:type="spellEnd"/>
            <w:r w:rsidRPr="004D6136">
              <w:rPr>
                <w:rFonts w:ascii="Times New Roman" w:hAnsi="Times New Roman" w:cs="Times New Roman"/>
                <w:bCs/>
                <w:color w:val="000000" w:themeColor="text1"/>
                <w:lang w:val="ro-MD"/>
              </w:rPr>
              <w:t xml:space="preserve"> A și B din anexa respectivă;</w:t>
            </w:r>
          </w:p>
          <w:p w14:paraId="4FB514A5" w14:textId="1C4EE030"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(p) în cazul în care </w:t>
            </w:r>
            <w:proofErr w:type="spellStart"/>
            <w:r w:rsidRPr="004D6136">
              <w:rPr>
                <w:rFonts w:ascii="Times New Roman" w:hAnsi="Times New Roman" w:cs="Times New Roman"/>
                <w:bCs/>
                <w:color w:val="000000" w:themeColor="text1"/>
                <w:lang w:val="ro-MD"/>
              </w:rPr>
              <w:t>instituţia</w:t>
            </w:r>
            <w:proofErr w:type="spellEnd"/>
            <w:r w:rsidRPr="004D6136">
              <w:rPr>
                <w:rFonts w:ascii="Times New Roman" w:hAnsi="Times New Roman" w:cs="Times New Roman"/>
                <w:bCs/>
                <w:color w:val="000000" w:themeColor="text1"/>
                <w:lang w:val="ro-MD"/>
              </w:rPr>
              <w:t xml:space="preserve"> este desemnată în conformitate cu articolul 54 alineatul (2) litera (b) din Regulamentul (UE) nr. 909/2014, expunerile </w:t>
            </w:r>
            <w:proofErr w:type="spellStart"/>
            <w:r w:rsidRPr="004D6136">
              <w:rPr>
                <w:rFonts w:ascii="Times New Roman" w:hAnsi="Times New Roman" w:cs="Times New Roman"/>
                <w:bCs/>
                <w:color w:val="000000" w:themeColor="text1"/>
                <w:lang w:val="ro-MD"/>
              </w:rPr>
              <w:t>instituţiei</w:t>
            </w:r>
            <w:proofErr w:type="spellEnd"/>
            <w:r w:rsidRPr="004D6136">
              <w:rPr>
                <w:rFonts w:ascii="Times New Roman" w:hAnsi="Times New Roman" w:cs="Times New Roman"/>
                <w:bCs/>
                <w:color w:val="000000" w:themeColor="text1"/>
                <w:lang w:val="ro-MD"/>
              </w:rPr>
              <w:t xml:space="preserve"> datorate serviciilor auxiliare de tip bancar enumerate la </w:t>
            </w:r>
            <w:proofErr w:type="spellStart"/>
            <w:r w:rsidRPr="004D6136">
              <w:rPr>
                <w:rFonts w:ascii="Times New Roman" w:hAnsi="Times New Roman" w:cs="Times New Roman"/>
                <w:bCs/>
                <w:color w:val="000000" w:themeColor="text1"/>
                <w:lang w:val="ro-MD"/>
              </w:rPr>
              <w:t>secţiunea</w:t>
            </w:r>
            <w:proofErr w:type="spellEnd"/>
            <w:r w:rsidRPr="004D6136">
              <w:rPr>
                <w:rFonts w:ascii="Times New Roman" w:hAnsi="Times New Roman" w:cs="Times New Roman"/>
                <w:bCs/>
                <w:color w:val="000000" w:themeColor="text1"/>
                <w:lang w:val="ro-MD"/>
              </w:rPr>
              <w:t xml:space="preserve"> C litera (a) din anexa la regulamentul </w:t>
            </w:r>
            <w:proofErr w:type="spellStart"/>
            <w:r w:rsidRPr="004D6136">
              <w:rPr>
                <w:rFonts w:ascii="Times New Roman" w:hAnsi="Times New Roman" w:cs="Times New Roman"/>
                <w:bCs/>
                <w:color w:val="000000" w:themeColor="text1"/>
                <w:lang w:val="ro-MD"/>
              </w:rPr>
              <w:t>menţionat</w:t>
            </w:r>
            <w:proofErr w:type="spellEnd"/>
            <w:r w:rsidRPr="004D6136">
              <w:rPr>
                <w:rFonts w:ascii="Times New Roman" w:hAnsi="Times New Roman" w:cs="Times New Roman"/>
                <w:bCs/>
                <w:color w:val="000000" w:themeColor="text1"/>
                <w:lang w:val="ro-MD"/>
              </w:rPr>
              <w:t xml:space="preserve"> care sunt legate în mod direct de serviciile de bază sau auxiliare ale unui depozitar central de titluri de valoare, autorizat în conformitate cu articolul 16 din respectivul regulament, enumerate în </w:t>
            </w:r>
            <w:proofErr w:type="spellStart"/>
            <w:r w:rsidRPr="004D6136">
              <w:rPr>
                <w:rFonts w:ascii="Times New Roman" w:hAnsi="Times New Roman" w:cs="Times New Roman"/>
                <w:bCs/>
                <w:color w:val="000000" w:themeColor="text1"/>
                <w:lang w:val="ro-MD"/>
              </w:rPr>
              <w:t>secţiunile</w:t>
            </w:r>
            <w:proofErr w:type="spellEnd"/>
            <w:r w:rsidRPr="004D6136">
              <w:rPr>
                <w:rFonts w:ascii="Times New Roman" w:hAnsi="Times New Roman" w:cs="Times New Roman"/>
                <w:bCs/>
                <w:color w:val="000000" w:themeColor="text1"/>
                <w:lang w:val="ro-MD"/>
              </w:rPr>
              <w:t xml:space="preserve"> A și B din anexa respectivă;</w:t>
            </w:r>
          </w:p>
          <w:p w14:paraId="70E5E7BD" w14:textId="77777777" w:rsidR="00951D3F" w:rsidRPr="004D6136" w:rsidRDefault="00951D3F" w:rsidP="00951D3F">
            <w:pPr>
              <w:spacing w:after="0" w:line="276" w:lineRule="auto"/>
              <w:jc w:val="both"/>
              <w:rPr>
                <w:rFonts w:ascii="Times New Roman" w:hAnsi="Times New Roman" w:cs="Times New Roman"/>
                <w:b/>
                <w:color w:val="000000" w:themeColor="text1"/>
                <w:lang w:val="ro-MD"/>
              </w:rPr>
            </w:pPr>
            <w:r w:rsidRPr="004D6136">
              <w:rPr>
                <w:rFonts w:ascii="Times New Roman" w:hAnsi="Times New Roman" w:cs="Times New Roman"/>
                <w:b/>
                <w:color w:val="000000" w:themeColor="text1"/>
                <w:lang w:val="ro-MD"/>
              </w:rPr>
              <w:t>▼M15</w:t>
            </w:r>
          </w:p>
          <w:p w14:paraId="5167BBB1" w14:textId="7D8394AA"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(q) expunerile care fac obiectul tratamentului prevăzut la articolul 72e alineatul (5) primul paragraf.</w:t>
            </w:r>
          </w:p>
          <w:p w14:paraId="13984D92" w14:textId="77777777" w:rsidR="00951D3F" w:rsidRPr="004D6136" w:rsidRDefault="00951D3F" w:rsidP="00951D3F">
            <w:pPr>
              <w:spacing w:after="0" w:line="276" w:lineRule="auto"/>
              <w:jc w:val="both"/>
              <w:rPr>
                <w:rFonts w:ascii="Times New Roman" w:hAnsi="Times New Roman" w:cs="Times New Roman"/>
                <w:b/>
                <w:color w:val="000000" w:themeColor="text1"/>
                <w:lang w:val="ro-MD"/>
              </w:rPr>
            </w:pPr>
            <w:r w:rsidRPr="004D6136">
              <w:rPr>
                <w:rFonts w:ascii="Times New Roman" w:hAnsi="Times New Roman" w:cs="Times New Roman"/>
                <w:b/>
                <w:color w:val="000000" w:themeColor="text1"/>
                <w:lang w:val="ro-MD"/>
              </w:rPr>
              <w:t>▼M8</w:t>
            </w:r>
          </w:p>
          <w:p w14:paraId="18D43E57" w14:textId="5447AA35"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În sensul literei (m) de la primul paragraf, </w:t>
            </w:r>
            <w:proofErr w:type="spellStart"/>
            <w:r w:rsidRPr="004D6136">
              <w:rPr>
                <w:rFonts w:ascii="Times New Roman" w:hAnsi="Times New Roman" w:cs="Times New Roman"/>
                <w:bCs/>
                <w:color w:val="000000" w:themeColor="text1"/>
                <w:lang w:val="ro-MD"/>
              </w:rPr>
              <w:t>instituţiile</w:t>
            </w:r>
            <w:proofErr w:type="spellEnd"/>
            <w:r w:rsidRPr="004D6136">
              <w:rPr>
                <w:rFonts w:ascii="Times New Roman" w:hAnsi="Times New Roman" w:cs="Times New Roman"/>
                <w:bCs/>
                <w:color w:val="000000" w:themeColor="text1"/>
                <w:lang w:val="ro-MD"/>
              </w:rPr>
              <w:t xml:space="preserve"> includ în indicatorul de măsurare a expunerii totale orice expunere </w:t>
            </w:r>
            <w:proofErr w:type="spellStart"/>
            <w:r w:rsidRPr="004D6136">
              <w:rPr>
                <w:rFonts w:ascii="Times New Roman" w:hAnsi="Times New Roman" w:cs="Times New Roman"/>
                <w:bCs/>
                <w:color w:val="000000" w:themeColor="text1"/>
                <w:lang w:val="ro-MD"/>
              </w:rPr>
              <w:t>reţinută</w:t>
            </w:r>
            <w:proofErr w:type="spellEnd"/>
            <w:r w:rsidRPr="004D6136">
              <w:rPr>
                <w:rFonts w:ascii="Times New Roman" w:hAnsi="Times New Roman" w:cs="Times New Roman"/>
                <w:bCs/>
                <w:color w:val="000000" w:themeColor="text1"/>
                <w:lang w:val="ro-MD"/>
              </w:rPr>
              <w:t xml:space="preserve">. </w:t>
            </w:r>
          </w:p>
        </w:tc>
        <w:tc>
          <w:tcPr>
            <w:tcW w:w="1557" w:type="pct"/>
            <w:shd w:val="clear" w:color="auto" w:fill="auto"/>
          </w:tcPr>
          <w:p w14:paraId="64B12DA3" w14:textId="72551F63" w:rsidR="00951D3F" w:rsidRPr="004D6136" w:rsidRDefault="0077404A"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1</w:t>
            </w:r>
            <w:r w:rsidR="008E16E0" w:rsidRPr="004D6136">
              <w:rPr>
                <w:rFonts w:ascii="Times New Roman" w:hAnsi="Times New Roman" w:cs="Times New Roman"/>
                <w:bCs/>
                <w:color w:val="000000" w:themeColor="text1"/>
                <w:lang w:val="ro-MD"/>
              </w:rPr>
              <w:t>9</w:t>
            </w:r>
            <w:r w:rsidRPr="004D6136">
              <w:rPr>
                <w:rFonts w:ascii="Times New Roman" w:hAnsi="Times New Roman" w:cs="Times New Roman"/>
                <w:bCs/>
                <w:color w:val="000000" w:themeColor="text1"/>
                <w:lang w:val="ro-MD"/>
              </w:rPr>
              <w:t>.</w:t>
            </w:r>
            <w:r w:rsidR="00951D3F" w:rsidRPr="004D6136">
              <w:rPr>
                <w:rFonts w:ascii="Times New Roman" w:hAnsi="Times New Roman" w:cs="Times New Roman"/>
                <w:bCs/>
                <w:color w:val="000000" w:themeColor="text1"/>
                <w:lang w:val="ro-MD"/>
              </w:rPr>
              <w:t xml:space="preserve"> Prin derogare de la</w:t>
            </w:r>
            <w:r w:rsidR="0087682F" w:rsidRPr="004D6136">
              <w:rPr>
                <w:rFonts w:ascii="Times New Roman" w:hAnsi="Times New Roman" w:cs="Times New Roman"/>
                <w:bCs/>
                <w:color w:val="000000" w:themeColor="text1"/>
                <w:lang w:val="ro-MD"/>
              </w:rPr>
              <w:t xml:space="preserve"> </w:t>
            </w:r>
            <w:r w:rsidRPr="004D6136">
              <w:rPr>
                <w:rFonts w:ascii="Times New Roman" w:hAnsi="Times New Roman" w:cs="Times New Roman"/>
                <w:bCs/>
                <w:color w:val="000000" w:themeColor="text1"/>
                <w:lang w:val="ro-MD"/>
              </w:rPr>
              <w:t>pct.9-11</w:t>
            </w:r>
            <w:r w:rsidR="00951D3F" w:rsidRPr="004D6136">
              <w:rPr>
                <w:rFonts w:ascii="Times New Roman" w:hAnsi="Times New Roman" w:cs="Times New Roman"/>
                <w:bCs/>
                <w:color w:val="000000" w:themeColor="text1"/>
                <w:lang w:val="ro-MD"/>
              </w:rPr>
              <w:t xml:space="preserve">, o </w:t>
            </w:r>
            <w:r w:rsidRPr="004D6136">
              <w:rPr>
                <w:rFonts w:ascii="Times New Roman" w:hAnsi="Times New Roman" w:cs="Times New Roman"/>
                <w:bCs/>
                <w:color w:val="000000" w:themeColor="text1"/>
                <w:lang w:val="ro-MD"/>
              </w:rPr>
              <w:t xml:space="preserve">bancă </w:t>
            </w:r>
            <w:r w:rsidR="00951D3F" w:rsidRPr="004D6136">
              <w:rPr>
                <w:rFonts w:ascii="Times New Roman" w:hAnsi="Times New Roman" w:cs="Times New Roman"/>
                <w:bCs/>
                <w:color w:val="000000" w:themeColor="text1"/>
                <w:lang w:val="ro-MD"/>
              </w:rPr>
              <w:t>poate să excludă oricare dintre următoarele expuneri din indicatorul de măsurare a expunerii totale:</w:t>
            </w:r>
          </w:p>
          <w:p w14:paraId="7C30BED9" w14:textId="29BCDC06" w:rsidR="00951D3F" w:rsidRPr="004D6136" w:rsidRDefault="00951D3F" w:rsidP="00951D3F">
            <w:pPr>
              <w:spacing w:after="0" w:line="276" w:lineRule="auto"/>
              <w:jc w:val="both"/>
              <w:rPr>
                <w:rFonts w:ascii="Times New Roman" w:hAnsi="Times New Roman" w:cs="Times New Roman"/>
                <w:bCs/>
                <w:color w:val="000000" w:themeColor="text1"/>
                <w:lang w:val="ro-MD"/>
              </w:rPr>
            </w:pPr>
          </w:p>
          <w:p w14:paraId="7516759A" w14:textId="5E288B2A" w:rsidR="00951D3F" w:rsidRPr="004D6136" w:rsidRDefault="00E30790"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1</w:t>
            </w:r>
            <w:r w:rsidR="008E16E0" w:rsidRPr="004D6136">
              <w:rPr>
                <w:rFonts w:ascii="Times New Roman" w:hAnsi="Times New Roman" w:cs="Times New Roman"/>
                <w:bCs/>
                <w:color w:val="000000" w:themeColor="text1"/>
                <w:lang w:val="ro-MD"/>
              </w:rPr>
              <w:t>9</w:t>
            </w:r>
            <w:r w:rsidRPr="004D6136">
              <w:rPr>
                <w:rFonts w:ascii="Times New Roman" w:hAnsi="Times New Roman" w:cs="Times New Roman"/>
                <w:bCs/>
                <w:color w:val="000000" w:themeColor="text1"/>
                <w:lang w:val="ro-MD"/>
              </w:rPr>
              <w:t>.</w:t>
            </w:r>
            <w:r w:rsidR="00E36943" w:rsidRPr="004D6136">
              <w:rPr>
                <w:rFonts w:ascii="Times New Roman" w:hAnsi="Times New Roman" w:cs="Times New Roman"/>
                <w:bCs/>
                <w:color w:val="000000" w:themeColor="text1"/>
                <w:lang w:val="ro-MD"/>
              </w:rPr>
              <w:t>1</w:t>
            </w:r>
            <w:r w:rsidRPr="004D6136">
              <w:rPr>
                <w:rFonts w:ascii="Times New Roman" w:hAnsi="Times New Roman" w:cs="Times New Roman"/>
                <w:bCs/>
                <w:color w:val="000000" w:themeColor="text1"/>
                <w:lang w:val="ro-MD"/>
              </w:rPr>
              <w:t>.</w:t>
            </w:r>
            <w:r w:rsidR="00951D3F" w:rsidRPr="004D6136">
              <w:rPr>
                <w:rFonts w:ascii="Times New Roman" w:hAnsi="Times New Roman" w:cs="Times New Roman"/>
                <w:bCs/>
                <w:color w:val="000000" w:themeColor="text1"/>
                <w:lang w:val="ro-MD"/>
              </w:rPr>
              <w:t xml:space="preserve"> activele deduse la calcularea indicatorului de măsurare a capitalului </w:t>
            </w:r>
            <w:proofErr w:type="spellStart"/>
            <w:r w:rsidR="00951D3F" w:rsidRPr="004D6136">
              <w:rPr>
                <w:rFonts w:ascii="Times New Roman" w:hAnsi="Times New Roman" w:cs="Times New Roman"/>
                <w:bCs/>
                <w:color w:val="000000" w:themeColor="text1"/>
                <w:lang w:val="ro-MD"/>
              </w:rPr>
              <w:t>menţionat</w:t>
            </w:r>
            <w:proofErr w:type="spellEnd"/>
            <w:r w:rsidR="00951D3F" w:rsidRPr="004D6136">
              <w:rPr>
                <w:rFonts w:ascii="Times New Roman" w:hAnsi="Times New Roman" w:cs="Times New Roman"/>
                <w:bCs/>
                <w:color w:val="000000" w:themeColor="text1"/>
                <w:lang w:val="ro-MD"/>
              </w:rPr>
              <w:t xml:space="preserve"> la</w:t>
            </w:r>
            <w:r w:rsidR="00632C0E" w:rsidRPr="004D6136">
              <w:rPr>
                <w:rFonts w:ascii="Times New Roman" w:hAnsi="Times New Roman" w:cs="Times New Roman"/>
                <w:bCs/>
                <w:color w:val="000000" w:themeColor="text1"/>
                <w:lang w:val="ro-MD"/>
              </w:rPr>
              <w:t xml:space="preserve"> </w:t>
            </w:r>
            <w:r w:rsidRPr="004D6136">
              <w:rPr>
                <w:rFonts w:ascii="Times New Roman" w:hAnsi="Times New Roman" w:cs="Times New Roman"/>
                <w:bCs/>
                <w:color w:val="000000" w:themeColor="text1"/>
                <w:lang w:val="ro-MD"/>
              </w:rPr>
              <w:t>pct.8</w:t>
            </w:r>
            <w:r w:rsidR="00951D3F" w:rsidRPr="004D6136">
              <w:rPr>
                <w:rFonts w:ascii="Times New Roman" w:hAnsi="Times New Roman" w:cs="Times New Roman"/>
                <w:bCs/>
                <w:color w:val="000000" w:themeColor="text1"/>
                <w:lang w:val="ro-MD"/>
              </w:rPr>
              <w:t>;</w:t>
            </w:r>
          </w:p>
          <w:p w14:paraId="79AA8F00" w14:textId="3FA74E0C" w:rsidR="00951D3F" w:rsidRPr="004D6136" w:rsidRDefault="00E30790" w:rsidP="005375D2">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1</w:t>
            </w:r>
            <w:r w:rsidR="008E16E0" w:rsidRPr="004D6136">
              <w:rPr>
                <w:rFonts w:ascii="Times New Roman" w:hAnsi="Times New Roman" w:cs="Times New Roman"/>
                <w:bCs/>
                <w:color w:val="000000" w:themeColor="text1"/>
                <w:lang w:val="ro-MD"/>
              </w:rPr>
              <w:t>9</w:t>
            </w:r>
            <w:r w:rsidRPr="004D6136">
              <w:rPr>
                <w:rFonts w:ascii="Times New Roman" w:hAnsi="Times New Roman" w:cs="Times New Roman"/>
                <w:bCs/>
                <w:color w:val="000000" w:themeColor="text1"/>
                <w:lang w:val="ro-MD"/>
              </w:rPr>
              <w:t>.</w:t>
            </w:r>
            <w:r w:rsidR="00E36943" w:rsidRPr="004D6136">
              <w:rPr>
                <w:rFonts w:ascii="Times New Roman" w:hAnsi="Times New Roman" w:cs="Times New Roman"/>
                <w:bCs/>
                <w:color w:val="000000" w:themeColor="text1"/>
                <w:lang w:val="ro-MD"/>
              </w:rPr>
              <w:t>2</w:t>
            </w:r>
            <w:r w:rsidRPr="004D6136">
              <w:rPr>
                <w:rFonts w:ascii="Times New Roman" w:hAnsi="Times New Roman" w:cs="Times New Roman"/>
                <w:bCs/>
                <w:color w:val="000000" w:themeColor="text1"/>
                <w:lang w:val="ro-MD"/>
              </w:rPr>
              <w:t>.</w:t>
            </w:r>
            <w:r w:rsidR="00951D3F" w:rsidRPr="004D6136">
              <w:rPr>
                <w:rFonts w:ascii="Times New Roman" w:hAnsi="Times New Roman" w:cs="Times New Roman"/>
                <w:bCs/>
                <w:color w:val="000000" w:themeColor="text1"/>
                <w:lang w:val="ro-MD"/>
              </w:rPr>
              <w:t xml:space="preserve"> expunerile cărora li se atribuie o pondere de risc de 0 % în conformitate cu </w:t>
            </w:r>
            <w:bookmarkStart w:id="14" w:name="_Hlk191305851"/>
            <w:r w:rsidR="00DA3FCD" w:rsidRPr="004D6136">
              <w:rPr>
                <w:rFonts w:ascii="Times New Roman" w:hAnsi="Times New Roman" w:cs="Times New Roman"/>
                <w:bCs/>
                <w:color w:val="000000" w:themeColor="text1"/>
                <w:lang w:val="ro-MD"/>
              </w:rPr>
              <w:t>pct.19-21</w:t>
            </w:r>
            <w:r w:rsidR="005375D2" w:rsidRPr="004D6136">
              <w:rPr>
                <w:rFonts w:ascii="Times New Roman" w:hAnsi="Times New Roman" w:cs="Times New Roman"/>
                <w:bCs/>
                <w:color w:val="000000" w:themeColor="text1"/>
                <w:lang w:val="ro-MD"/>
              </w:rPr>
              <w:t xml:space="preserve"> </w:t>
            </w:r>
            <w:bookmarkEnd w:id="14"/>
            <w:r w:rsidR="005375D2" w:rsidRPr="004D6136">
              <w:rPr>
                <w:rFonts w:ascii="Times New Roman" w:hAnsi="Times New Roman" w:cs="Times New Roman"/>
                <w:bCs/>
                <w:color w:val="000000" w:themeColor="text1"/>
                <w:lang w:val="ro-MD"/>
              </w:rPr>
              <w:t>din Regulamentul</w:t>
            </w:r>
            <w:r w:rsidR="001B373A" w:rsidRPr="004D6136">
              <w:rPr>
                <w:rFonts w:ascii="Times New Roman" w:hAnsi="Times New Roman" w:cs="Times New Roman"/>
                <w:bCs/>
                <w:color w:val="000000" w:themeColor="text1"/>
                <w:lang w:val="ro-MD"/>
              </w:rPr>
              <w:t xml:space="preserve"> </w:t>
            </w:r>
            <w:r w:rsidR="005375D2" w:rsidRPr="004D6136">
              <w:rPr>
                <w:rFonts w:ascii="Times New Roman" w:hAnsi="Times New Roman" w:cs="Times New Roman"/>
                <w:bCs/>
                <w:color w:val="000000" w:themeColor="text1"/>
                <w:lang w:val="ro-MD"/>
              </w:rPr>
              <w:t>cu privire la tratamentul riscului de credit pentru bănci potrivit abordării standardizate, aprobat prin HCE al BNM nr.111/2018 (în continuare – Regulamentul nr.111/2018)</w:t>
            </w:r>
            <w:r w:rsidR="00951D3F" w:rsidRPr="004D6136">
              <w:rPr>
                <w:rFonts w:ascii="Times New Roman" w:hAnsi="Times New Roman" w:cs="Times New Roman"/>
                <w:bCs/>
                <w:color w:val="000000" w:themeColor="text1"/>
                <w:lang w:val="ro-MD"/>
              </w:rPr>
              <w:t>;</w:t>
            </w:r>
          </w:p>
          <w:p w14:paraId="6600442B" w14:textId="1A32CE95" w:rsidR="00951D3F" w:rsidRPr="004D6136" w:rsidRDefault="00FE6A6E" w:rsidP="00ED1D32">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19.3.</w:t>
            </w:r>
            <w:r w:rsidR="00951D3F" w:rsidRPr="004D6136">
              <w:rPr>
                <w:rFonts w:ascii="Times New Roman" w:hAnsi="Times New Roman" w:cs="Times New Roman"/>
                <w:bCs/>
                <w:color w:val="000000" w:themeColor="text1"/>
                <w:lang w:val="ro-MD"/>
              </w:rPr>
              <w:t xml:space="preserve"> </w:t>
            </w:r>
            <w:proofErr w:type="spellStart"/>
            <w:r w:rsidR="00951D3F" w:rsidRPr="004D6136">
              <w:rPr>
                <w:rFonts w:ascii="Times New Roman" w:hAnsi="Times New Roman" w:cs="Times New Roman"/>
                <w:bCs/>
                <w:color w:val="000000" w:themeColor="text1"/>
                <w:lang w:val="ro-MD"/>
              </w:rPr>
              <w:t>părţile</w:t>
            </w:r>
            <w:proofErr w:type="spellEnd"/>
            <w:r w:rsidR="00951D3F" w:rsidRPr="004D6136">
              <w:rPr>
                <w:rFonts w:ascii="Times New Roman" w:hAnsi="Times New Roman" w:cs="Times New Roman"/>
                <w:bCs/>
                <w:color w:val="000000" w:themeColor="text1"/>
                <w:lang w:val="ro-MD"/>
              </w:rPr>
              <w:t xml:space="preserve"> garantate ale expunerilor care decurg din credite de export care îndeplinesc cumulativ următoarele două </w:t>
            </w:r>
            <w:proofErr w:type="spellStart"/>
            <w:r w:rsidR="00951D3F" w:rsidRPr="004D6136">
              <w:rPr>
                <w:rFonts w:ascii="Times New Roman" w:hAnsi="Times New Roman" w:cs="Times New Roman"/>
                <w:bCs/>
                <w:color w:val="000000" w:themeColor="text1"/>
                <w:lang w:val="ro-MD"/>
              </w:rPr>
              <w:t>condiţii</w:t>
            </w:r>
            <w:proofErr w:type="spellEnd"/>
            <w:r w:rsidR="00951D3F" w:rsidRPr="004D6136">
              <w:rPr>
                <w:rFonts w:ascii="Times New Roman" w:hAnsi="Times New Roman" w:cs="Times New Roman"/>
                <w:bCs/>
                <w:color w:val="000000" w:themeColor="text1"/>
                <w:lang w:val="ro-MD"/>
              </w:rPr>
              <w:t>:</w:t>
            </w:r>
          </w:p>
          <w:p w14:paraId="33440CE0" w14:textId="717F425B" w:rsidR="00951D3F" w:rsidRPr="004D6136" w:rsidRDefault="00FE6A6E" w:rsidP="00ED1D32">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19.3.1.</w:t>
            </w:r>
            <w:r w:rsidR="00951D3F" w:rsidRPr="004D6136">
              <w:rPr>
                <w:rFonts w:ascii="Times New Roman" w:hAnsi="Times New Roman" w:cs="Times New Roman"/>
                <w:bCs/>
                <w:color w:val="000000" w:themeColor="text1"/>
                <w:lang w:val="ro-MD"/>
              </w:rPr>
              <w:t xml:space="preserve"> </w:t>
            </w:r>
            <w:proofErr w:type="spellStart"/>
            <w:r w:rsidR="00951D3F" w:rsidRPr="004D6136">
              <w:rPr>
                <w:rFonts w:ascii="Times New Roman" w:hAnsi="Times New Roman" w:cs="Times New Roman"/>
                <w:bCs/>
                <w:color w:val="000000" w:themeColor="text1"/>
                <w:lang w:val="ro-MD"/>
              </w:rPr>
              <w:t>garanţia</w:t>
            </w:r>
            <w:proofErr w:type="spellEnd"/>
            <w:r w:rsidR="00951D3F" w:rsidRPr="004D6136">
              <w:rPr>
                <w:rFonts w:ascii="Times New Roman" w:hAnsi="Times New Roman" w:cs="Times New Roman"/>
                <w:bCs/>
                <w:color w:val="000000" w:themeColor="text1"/>
                <w:lang w:val="ro-MD"/>
              </w:rPr>
              <w:t xml:space="preserve"> este furnizată de un furnizor eligibil de </w:t>
            </w:r>
            <w:proofErr w:type="spellStart"/>
            <w:r w:rsidR="00951D3F" w:rsidRPr="004D6136">
              <w:rPr>
                <w:rFonts w:ascii="Times New Roman" w:hAnsi="Times New Roman" w:cs="Times New Roman"/>
                <w:bCs/>
                <w:color w:val="000000" w:themeColor="text1"/>
                <w:lang w:val="ro-MD"/>
              </w:rPr>
              <w:t>protecţie</w:t>
            </w:r>
            <w:proofErr w:type="spellEnd"/>
            <w:r w:rsidR="00951D3F" w:rsidRPr="004D6136">
              <w:rPr>
                <w:rFonts w:ascii="Times New Roman" w:hAnsi="Times New Roman" w:cs="Times New Roman"/>
                <w:bCs/>
                <w:color w:val="000000" w:themeColor="text1"/>
                <w:lang w:val="ro-MD"/>
              </w:rPr>
              <w:t xml:space="preserve"> </w:t>
            </w:r>
            <w:proofErr w:type="spellStart"/>
            <w:r w:rsidR="00951D3F" w:rsidRPr="004D6136">
              <w:rPr>
                <w:rFonts w:ascii="Times New Roman" w:hAnsi="Times New Roman" w:cs="Times New Roman"/>
                <w:bCs/>
                <w:color w:val="000000" w:themeColor="text1"/>
                <w:lang w:val="ro-MD"/>
              </w:rPr>
              <w:t>nefinanţată</w:t>
            </w:r>
            <w:proofErr w:type="spellEnd"/>
            <w:r w:rsidR="00951D3F" w:rsidRPr="004D6136">
              <w:rPr>
                <w:rFonts w:ascii="Times New Roman" w:hAnsi="Times New Roman" w:cs="Times New Roman"/>
                <w:bCs/>
                <w:color w:val="000000" w:themeColor="text1"/>
                <w:lang w:val="ro-MD"/>
              </w:rPr>
              <w:t xml:space="preserve"> a creditului în conformitate cu </w:t>
            </w:r>
            <w:r w:rsidRPr="004D6136">
              <w:rPr>
                <w:rFonts w:ascii="Times New Roman" w:hAnsi="Times New Roman" w:cs="Times New Roman"/>
                <w:bCs/>
                <w:color w:val="000000" w:themeColor="text1"/>
                <w:lang w:val="ro-RO"/>
              </w:rPr>
              <w:t>pct.36 din Regulamentul  cu privire la tehnicile de diminuare a riscului de credit utilizate de bănci, aprobat prin HCE al BNM nr.112/2018 (în continuare - Regulamentul nr.112/2018)</w:t>
            </w:r>
            <w:r w:rsidR="00951D3F" w:rsidRPr="004D6136">
              <w:rPr>
                <w:rFonts w:ascii="Times New Roman" w:hAnsi="Times New Roman" w:cs="Times New Roman"/>
                <w:bCs/>
                <w:color w:val="000000" w:themeColor="text1"/>
                <w:lang w:val="ro-MD"/>
              </w:rPr>
              <w:t xml:space="preserve">, inclusiv de </w:t>
            </w:r>
            <w:proofErr w:type="spellStart"/>
            <w:r w:rsidR="00951D3F" w:rsidRPr="004D6136">
              <w:rPr>
                <w:rFonts w:ascii="Times New Roman" w:hAnsi="Times New Roman" w:cs="Times New Roman"/>
                <w:bCs/>
                <w:color w:val="000000" w:themeColor="text1"/>
                <w:lang w:val="ro-MD"/>
              </w:rPr>
              <w:t>agenţiile</w:t>
            </w:r>
            <w:proofErr w:type="spellEnd"/>
            <w:r w:rsidR="00951D3F" w:rsidRPr="004D6136">
              <w:rPr>
                <w:rFonts w:ascii="Times New Roman" w:hAnsi="Times New Roman" w:cs="Times New Roman"/>
                <w:bCs/>
                <w:color w:val="000000" w:themeColor="text1"/>
                <w:lang w:val="ro-MD"/>
              </w:rPr>
              <w:t xml:space="preserve"> de creditare a exportului sau de </w:t>
            </w:r>
            <w:proofErr w:type="spellStart"/>
            <w:r w:rsidR="00951D3F" w:rsidRPr="004D6136">
              <w:rPr>
                <w:rFonts w:ascii="Times New Roman" w:hAnsi="Times New Roman" w:cs="Times New Roman"/>
                <w:bCs/>
                <w:color w:val="000000" w:themeColor="text1"/>
                <w:lang w:val="ro-MD"/>
              </w:rPr>
              <w:t>administraţiile</w:t>
            </w:r>
            <w:proofErr w:type="spellEnd"/>
            <w:r w:rsidR="00951D3F" w:rsidRPr="004D6136">
              <w:rPr>
                <w:rFonts w:ascii="Times New Roman" w:hAnsi="Times New Roman" w:cs="Times New Roman"/>
                <w:bCs/>
                <w:color w:val="000000" w:themeColor="text1"/>
                <w:lang w:val="ro-MD"/>
              </w:rPr>
              <w:t xml:space="preserve"> centrale;</w:t>
            </w:r>
          </w:p>
          <w:p w14:paraId="54AEAC64" w14:textId="40DBFDEB" w:rsidR="00951D3F" w:rsidRPr="004D6136" w:rsidRDefault="00FE6A6E" w:rsidP="00ED1D32">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19.3.2.</w:t>
            </w:r>
            <w:r w:rsidR="00951D3F" w:rsidRPr="004D6136">
              <w:rPr>
                <w:rFonts w:ascii="Times New Roman" w:hAnsi="Times New Roman" w:cs="Times New Roman"/>
                <w:bCs/>
                <w:color w:val="000000" w:themeColor="text1"/>
                <w:lang w:val="ro-MD"/>
              </w:rPr>
              <w:t xml:space="preserve"> se aplică o pondere de risc de 0 % </w:t>
            </w:r>
            <w:proofErr w:type="spellStart"/>
            <w:r w:rsidR="00951D3F" w:rsidRPr="004D6136">
              <w:rPr>
                <w:rFonts w:ascii="Times New Roman" w:hAnsi="Times New Roman" w:cs="Times New Roman"/>
                <w:bCs/>
                <w:color w:val="000000" w:themeColor="text1"/>
                <w:lang w:val="ro-MD"/>
              </w:rPr>
              <w:t>părţii</w:t>
            </w:r>
            <w:proofErr w:type="spellEnd"/>
            <w:r w:rsidR="00951D3F" w:rsidRPr="004D6136">
              <w:rPr>
                <w:rFonts w:ascii="Times New Roman" w:hAnsi="Times New Roman" w:cs="Times New Roman"/>
                <w:bCs/>
                <w:color w:val="000000" w:themeColor="text1"/>
                <w:lang w:val="ro-MD"/>
              </w:rPr>
              <w:t xml:space="preserve"> garantate a expunerii în conformitate cu </w:t>
            </w:r>
            <w:r w:rsidRPr="004D6136">
              <w:rPr>
                <w:rFonts w:ascii="Times New Roman" w:hAnsi="Times New Roman" w:cs="Times New Roman"/>
                <w:bCs/>
                <w:color w:val="000000" w:themeColor="text1"/>
                <w:lang w:val="ro-MD"/>
              </w:rPr>
              <w:t>secțiunea 1 sau secțiunea 3 din capitolul IV al Regulamentului nr.111/2018</w:t>
            </w:r>
            <w:r w:rsidR="00951D3F" w:rsidRPr="004D6136">
              <w:rPr>
                <w:rFonts w:ascii="Times New Roman" w:hAnsi="Times New Roman" w:cs="Times New Roman"/>
                <w:bCs/>
                <w:color w:val="000000" w:themeColor="text1"/>
                <w:lang w:val="ro-MD"/>
              </w:rPr>
              <w:t>;</w:t>
            </w:r>
          </w:p>
          <w:p w14:paraId="4C1848F3" w14:textId="5EC77D84" w:rsidR="00951D3F" w:rsidRPr="004D6136" w:rsidRDefault="00002824"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1</w:t>
            </w:r>
            <w:r w:rsidR="008B3310" w:rsidRPr="004D6136">
              <w:rPr>
                <w:rFonts w:ascii="Times New Roman" w:hAnsi="Times New Roman" w:cs="Times New Roman"/>
                <w:bCs/>
                <w:color w:val="000000" w:themeColor="text1"/>
                <w:lang w:val="ro-MD"/>
              </w:rPr>
              <w:t>9</w:t>
            </w:r>
            <w:r w:rsidRPr="004D6136">
              <w:rPr>
                <w:rFonts w:ascii="Times New Roman" w:hAnsi="Times New Roman" w:cs="Times New Roman"/>
                <w:bCs/>
                <w:color w:val="000000" w:themeColor="text1"/>
                <w:lang w:val="ro-MD"/>
              </w:rPr>
              <w:t>.</w:t>
            </w:r>
            <w:r w:rsidR="00B56114" w:rsidRPr="004D6136">
              <w:rPr>
                <w:rFonts w:ascii="Times New Roman" w:hAnsi="Times New Roman" w:cs="Times New Roman"/>
                <w:bCs/>
                <w:color w:val="000000" w:themeColor="text1"/>
                <w:lang w:val="ro-MD"/>
              </w:rPr>
              <w:t>4</w:t>
            </w:r>
            <w:r w:rsidR="00092C36" w:rsidRPr="004D6136">
              <w:rPr>
                <w:rFonts w:ascii="Times New Roman" w:hAnsi="Times New Roman" w:cs="Times New Roman"/>
                <w:bCs/>
                <w:color w:val="000000" w:themeColor="text1"/>
                <w:lang w:val="ro-MD"/>
              </w:rPr>
              <w:t>.</w:t>
            </w:r>
            <w:r w:rsidR="00951D3F" w:rsidRPr="004D6136">
              <w:rPr>
                <w:rFonts w:ascii="Times New Roman" w:hAnsi="Times New Roman" w:cs="Times New Roman"/>
                <w:bCs/>
                <w:color w:val="000000" w:themeColor="text1"/>
                <w:lang w:val="ro-MD"/>
              </w:rPr>
              <w:t xml:space="preserve"> în cazul în care </w:t>
            </w:r>
            <w:r w:rsidR="002A6E8A" w:rsidRPr="004D6136">
              <w:rPr>
                <w:rFonts w:ascii="Times New Roman" w:hAnsi="Times New Roman" w:cs="Times New Roman"/>
                <w:bCs/>
                <w:color w:val="000000" w:themeColor="text1"/>
                <w:lang w:val="ro-MD"/>
              </w:rPr>
              <w:t xml:space="preserve">banca </w:t>
            </w:r>
            <w:r w:rsidR="00951D3F" w:rsidRPr="004D6136">
              <w:rPr>
                <w:rFonts w:ascii="Times New Roman" w:hAnsi="Times New Roman" w:cs="Times New Roman"/>
                <w:bCs/>
                <w:color w:val="000000" w:themeColor="text1"/>
                <w:lang w:val="ro-MD"/>
              </w:rPr>
              <w:t xml:space="preserve">este membru compensator </w:t>
            </w:r>
            <w:r w:rsidR="006D2495" w:rsidRPr="004D6136">
              <w:rPr>
                <w:rFonts w:ascii="Times New Roman" w:hAnsi="Times New Roman" w:cs="Times New Roman"/>
                <w:bCs/>
                <w:color w:val="000000" w:themeColor="text1"/>
                <w:lang w:val="ro-MD"/>
              </w:rPr>
              <w:t xml:space="preserve">a unei </w:t>
            </w:r>
            <w:proofErr w:type="spellStart"/>
            <w:r w:rsidR="006D2495" w:rsidRPr="004D6136">
              <w:rPr>
                <w:rFonts w:ascii="Times New Roman" w:hAnsi="Times New Roman" w:cs="Times New Roman"/>
                <w:bCs/>
                <w:color w:val="000000" w:themeColor="text1"/>
                <w:lang w:val="ro-MD"/>
              </w:rPr>
              <w:t>contrapărți</w:t>
            </w:r>
            <w:proofErr w:type="spellEnd"/>
            <w:r w:rsidR="006D2495" w:rsidRPr="004D6136">
              <w:rPr>
                <w:rFonts w:ascii="Times New Roman" w:hAnsi="Times New Roman" w:cs="Times New Roman"/>
                <w:bCs/>
                <w:color w:val="000000" w:themeColor="text1"/>
                <w:lang w:val="ro-MD"/>
              </w:rPr>
              <w:t xml:space="preserve"> centrale calificate (în continuare –</w:t>
            </w:r>
            <w:r w:rsidR="00951D3F" w:rsidRPr="004D6136">
              <w:rPr>
                <w:rFonts w:ascii="Times New Roman" w:hAnsi="Times New Roman" w:cs="Times New Roman"/>
                <w:bCs/>
                <w:color w:val="000000" w:themeColor="text1"/>
                <w:lang w:val="ro-MD"/>
              </w:rPr>
              <w:t xml:space="preserve"> CPCC</w:t>
            </w:r>
            <w:r w:rsidR="006D2495" w:rsidRPr="004D6136">
              <w:rPr>
                <w:rFonts w:ascii="Times New Roman" w:hAnsi="Times New Roman" w:cs="Times New Roman"/>
                <w:bCs/>
                <w:color w:val="000000" w:themeColor="text1"/>
                <w:lang w:val="ro-MD"/>
              </w:rPr>
              <w:t>)</w:t>
            </w:r>
            <w:r w:rsidR="00951D3F" w:rsidRPr="004D6136">
              <w:rPr>
                <w:rFonts w:ascii="Times New Roman" w:hAnsi="Times New Roman" w:cs="Times New Roman"/>
                <w:bCs/>
                <w:color w:val="000000" w:themeColor="text1"/>
                <w:lang w:val="ro-MD"/>
              </w:rPr>
              <w:t xml:space="preserve">, expunerile din </w:t>
            </w:r>
            <w:proofErr w:type="spellStart"/>
            <w:r w:rsidR="00951D3F" w:rsidRPr="004D6136">
              <w:rPr>
                <w:rFonts w:ascii="Times New Roman" w:hAnsi="Times New Roman" w:cs="Times New Roman"/>
                <w:bCs/>
                <w:color w:val="000000" w:themeColor="text1"/>
                <w:lang w:val="ro-MD"/>
              </w:rPr>
              <w:t>tranzacţii</w:t>
            </w:r>
            <w:proofErr w:type="spellEnd"/>
            <w:r w:rsidR="00951D3F" w:rsidRPr="004D6136">
              <w:rPr>
                <w:rFonts w:ascii="Times New Roman" w:hAnsi="Times New Roman" w:cs="Times New Roman"/>
                <w:bCs/>
                <w:color w:val="000000" w:themeColor="text1"/>
                <w:lang w:val="ro-MD"/>
              </w:rPr>
              <w:t xml:space="preserve"> ale </w:t>
            </w:r>
            <w:r w:rsidR="002A6E8A" w:rsidRPr="004D6136">
              <w:rPr>
                <w:rFonts w:ascii="Times New Roman" w:hAnsi="Times New Roman" w:cs="Times New Roman"/>
                <w:bCs/>
                <w:color w:val="000000" w:themeColor="text1"/>
                <w:lang w:val="ro-MD"/>
              </w:rPr>
              <w:t xml:space="preserve">băncii </w:t>
            </w:r>
            <w:r w:rsidR="00951D3F" w:rsidRPr="004D6136">
              <w:rPr>
                <w:rFonts w:ascii="Times New Roman" w:hAnsi="Times New Roman" w:cs="Times New Roman"/>
                <w:bCs/>
                <w:color w:val="000000" w:themeColor="text1"/>
                <w:lang w:val="ro-MD"/>
              </w:rPr>
              <w:t xml:space="preserve">respective, cu </w:t>
            </w:r>
            <w:proofErr w:type="spellStart"/>
            <w:r w:rsidR="00951D3F" w:rsidRPr="004D6136">
              <w:rPr>
                <w:rFonts w:ascii="Times New Roman" w:hAnsi="Times New Roman" w:cs="Times New Roman"/>
                <w:bCs/>
                <w:color w:val="000000" w:themeColor="text1"/>
                <w:lang w:val="ro-MD"/>
              </w:rPr>
              <w:t>condiţia</w:t>
            </w:r>
            <w:proofErr w:type="spellEnd"/>
            <w:r w:rsidR="00951D3F" w:rsidRPr="004D6136">
              <w:rPr>
                <w:rFonts w:ascii="Times New Roman" w:hAnsi="Times New Roman" w:cs="Times New Roman"/>
                <w:bCs/>
                <w:color w:val="000000" w:themeColor="text1"/>
                <w:lang w:val="ro-MD"/>
              </w:rPr>
              <w:t xml:space="preserve"> ca acestea să fie compensate </w:t>
            </w:r>
            <w:r w:rsidR="00951D3F" w:rsidRPr="004D6136">
              <w:rPr>
                <w:rFonts w:ascii="Times New Roman" w:hAnsi="Times New Roman" w:cs="Times New Roman"/>
                <w:bCs/>
                <w:color w:val="000000" w:themeColor="text1"/>
                <w:lang w:val="ro-MD"/>
              </w:rPr>
              <w:lastRenderedPageBreak/>
              <w:t xml:space="preserve">cu respectivul CPCC și să îndeplinească </w:t>
            </w:r>
            <w:proofErr w:type="spellStart"/>
            <w:r w:rsidR="00951D3F" w:rsidRPr="004D6136">
              <w:rPr>
                <w:rFonts w:ascii="Times New Roman" w:hAnsi="Times New Roman" w:cs="Times New Roman"/>
                <w:bCs/>
                <w:color w:val="000000" w:themeColor="text1"/>
                <w:lang w:val="ro-MD"/>
              </w:rPr>
              <w:t>condiţiile</w:t>
            </w:r>
            <w:proofErr w:type="spellEnd"/>
            <w:r w:rsidR="00951D3F" w:rsidRPr="004D6136">
              <w:rPr>
                <w:rFonts w:ascii="Times New Roman" w:hAnsi="Times New Roman" w:cs="Times New Roman"/>
                <w:bCs/>
                <w:color w:val="000000" w:themeColor="text1"/>
                <w:lang w:val="ro-MD"/>
              </w:rPr>
              <w:t xml:space="preserve"> prevăzute la</w:t>
            </w:r>
            <w:r w:rsidRPr="004D6136">
              <w:rPr>
                <w:rFonts w:ascii="Times New Roman" w:eastAsia="Times New Roman" w:hAnsi="Times New Roman" w:cs="Times New Roman"/>
                <w:bCs/>
                <w:sz w:val="24"/>
                <w:szCs w:val="24"/>
                <w:lang w:val="ro-RO" w:eastAsia="ro-MD"/>
              </w:rPr>
              <w:t xml:space="preserve"> </w:t>
            </w:r>
            <w:r w:rsidRPr="004D6136">
              <w:rPr>
                <w:rFonts w:ascii="Times New Roman" w:eastAsia="Times New Roman" w:hAnsi="Times New Roman" w:cs="Times New Roman"/>
                <w:bCs/>
                <w:lang w:val="ro-RO" w:eastAsia="ro-MD"/>
              </w:rPr>
              <w:t xml:space="preserve">Regulamentul privind riscul de credit al </w:t>
            </w:r>
            <w:proofErr w:type="spellStart"/>
            <w:r w:rsidRPr="004D6136">
              <w:rPr>
                <w:rFonts w:ascii="Times New Roman" w:eastAsia="Times New Roman" w:hAnsi="Times New Roman" w:cs="Times New Roman"/>
                <w:bCs/>
                <w:lang w:val="ro-RO" w:eastAsia="ro-MD"/>
              </w:rPr>
              <w:t>contrapărții</w:t>
            </w:r>
            <w:proofErr w:type="spellEnd"/>
            <w:r w:rsidRPr="004D6136">
              <w:rPr>
                <w:rFonts w:ascii="Times New Roman" w:eastAsia="Times New Roman" w:hAnsi="Times New Roman" w:cs="Times New Roman"/>
                <w:bCs/>
                <w:lang w:val="ro-RO" w:eastAsia="ro-MD"/>
              </w:rPr>
              <w:t xml:space="preserve"> pentru bănci</w:t>
            </w:r>
            <w:r w:rsidR="00951D3F" w:rsidRPr="004D6136">
              <w:rPr>
                <w:rFonts w:ascii="Times New Roman" w:hAnsi="Times New Roman" w:cs="Times New Roman"/>
                <w:bCs/>
                <w:color w:val="000000" w:themeColor="text1"/>
                <w:lang w:val="ro-MD"/>
              </w:rPr>
              <w:t>;</w:t>
            </w:r>
          </w:p>
          <w:p w14:paraId="32D6EF16" w14:textId="262715F5" w:rsidR="00951D3F" w:rsidRPr="004D6136" w:rsidRDefault="001F7164"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1</w:t>
            </w:r>
            <w:r w:rsidR="008B3310" w:rsidRPr="004D6136">
              <w:rPr>
                <w:rFonts w:ascii="Times New Roman" w:hAnsi="Times New Roman" w:cs="Times New Roman"/>
                <w:bCs/>
                <w:color w:val="000000" w:themeColor="text1"/>
                <w:lang w:val="ro-MD"/>
              </w:rPr>
              <w:t>9</w:t>
            </w:r>
            <w:r w:rsidRPr="004D6136">
              <w:rPr>
                <w:rFonts w:ascii="Times New Roman" w:hAnsi="Times New Roman" w:cs="Times New Roman"/>
                <w:bCs/>
                <w:color w:val="000000" w:themeColor="text1"/>
                <w:lang w:val="ro-MD"/>
              </w:rPr>
              <w:t>.</w:t>
            </w:r>
            <w:r w:rsidR="00B56114" w:rsidRPr="004D6136">
              <w:rPr>
                <w:rFonts w:ascii="Times New Roman" w:hAnsi="Times New Roman" w:cs="Times New Roman"/>
                <w:bCs/>
                <w:color w:val="000000" w:themeColor="text1"/>
                <w:lang w:val="ro-MD"/>
              </w:rPr>
              <w:t>5</w:t>
            </w:r>
            <w:r w:rsidRPr="004D6136">
              <w:rPr>
                <w:rFonts w:ascii="Times New Roman" w:hAnsi="Times New Roman" w:cs="Times New Roman"/>
                <w:bCs/>
                <w:color w:val="000000" w:themeColor="text1"/>
                <w:lang w:val="ro-MD"/>
              </w:rPr>
              <w:t>.</w:t>
            </w:r>
            <w:r w:rsidR="00951D3F" w:rsidRPr="004D6136">
              <w:rPr>
                <w:rFonts w:ascii="Times New Roman" w:hAnsi="Times New Roman" w:cs="Times New Roman"/>
                <w:bCs/>
                <w:color w:val="000000" w:themeColor="text1"/>
                <w:lang w:val="ro-MD"/>
              </w:rPr>
              <w:t xml:space="preserve"> în cazul în care </w:t>
            </w:r>
            <w:r w:rsidR="008A15CB" w:rsidRPr="004D6136">
              <w:rPr>
                <w:rFonts w:ascii="Times New Roman" w:hAnsi="Times New Roman" w:cs="Times New Roman"/>
                <w:bCs/>
                <w:color w:val="000000" w:themeColor="text1"/>
                <w:lang w:val="ro-MD"/>
              </w:rPr>
              <w:t xml:space="preserve">banca </w:t>
            </w:r>
            <w:r w:rsidR="00951D3F" w:rsidRPr="004D6136">
              <w:rPr>
                <w:rFonts w:ascii="Times New Roman" w:hAnsi="Times New Roman" w:cs="Times New Roman"/>
                <w:bCs/>
                <w:color w:val="000000" w:themeColor="text1"/>
                <w:lang w:val="ro-MD"/>
              </w:rPr>
              <w:t xml:space="preserve">este un client de nivel superior în cadrul unei structuri a clientelei pe mai multe niveluri, expunerile din </w:t>
            </w:r>
            <w:proofErr w:type="spellStart"/>
            <w:r w:rsidR="00951D3F" w:rsidRPr="004D6136">
              <w:rPr>
                <w:rFonts w:ascii="Times New Roman" w:hAnsi="Times New Roman" w:cs="Times New Roman"/>
                <w:bCs/>
                <w:color w:val="000000" w:themeColor="text1"/>
                <w:lang w:val="ro-MD"/>
              </w:rPr>
              <w:t>tranzacţii</w:t>
            </w:r>
            <w:proofErr w:type="spellEnd"/>
            <w:r w:rsidR="00951D3F" w:rsidRPr="004D6136">
              <w:rPr>
                <w:rFonts w:ascii="Times New Roman" w:hAnsi="Times New Roman" w:cs="Times New Roman"/>
                <w:bCs/>
                <w:color w:val="000000" w:themeColor="text1"/>
                <w:lang w:val="ro-MD"/>
              </w:rPr>
              <w:t xml:space="preserve"> </w:t>
            </w:r>
            <w:proofErr w:type="spellStart"/>
            <w:r w:rsidR="00951D3F" w:rsidRPr="004D6136">
              <w:rPr>
                <w:rFonts w:ascii="Times New Roman" w:hAnsi="Times New Roman" w:cs="Times New Roman"/>
                <w:bCs/>
                <w:color w:val="000000" w:themeColor="text1"/>
                <w:lang w:val="ro-MD"/>
              </w:rPr>
              <w:t>faţă</w:t>
            </w:r>
            <w:proofErr w:type="spellEnd"/>
            <w:r w:rsidR="00951D3F" w:rsidRPr="004D6136">
              <w:rPr>
                <w:rFonts w:ascii="Times New Roman" w:hAnsi="Times New Roman" w:cs="Times New Roman"/>
                <w:bCs/>
                <w:color w:val="000000" w:themeColor="text1"/>
                <w:lang w:val="ro-MD"/>
              </w:rPr>
              <w:t xml:space="preserve"> de membrul compensator sau de o entitate care </w:t>
            </w:r>
            <w:proofErr w:type="spellStart"/>
            <w:r w:rsidR="00951D3F" w:rsidRPr="004D6136">
              <w:rPr>
                <w:rFonts w:ascii="Times New Roman" w:hAnsi="Times New Roman" w:cs="Times New Roman"/>
                <w:bCs/>
                <w:color w:val="000000" w:themeColor="text1"/>
                <w:lang w:val="ro-MD"/>
              </w:rPr>
              <w:t>acţionează</w:t>
            </w:r>
            <w:proofErr w:type="spellEnd"/>
            <w:r w:rsidR="00951D3F" w:rsidRPr="004D6136">
              <w:rPr>
                <w:rFonts w:ascii="Times New Roman" w:hAnsi="Times New Roman" w:cs="Times New Roman"/>
                <w:bCs/>
                <w:color w:val="000000" w:themeColor="text1"/>
                <w:lang w:val="ro-MD"/>
              </w:rPr>
              <w:t xml:space="preserve"> în calitate de client de nivel superior pentru respectiva</w:t>
            </w:r>
            <w:r w:rsidR="00BD2CA2" w:rsidRPr="004D6136">
              <w:rPr>
                <w:rFonts w:ascii="Times New Roman" w:hAnsi="Times New Roman" w:cs="Times New Roman"/>
                <w:bCs/>
                <w:color w:val="000000" w:themeColor="text1"/>
                <w:lang w:val="ro-MD"/>
              </w:rPr>
              <w:t xml:space="preserve"> </w:t>
            </w:r>
            <w:r w:rsidR="008A15CB" w:rsidRPr="004D6136">
              <w:rPr>
                <w:rFonts w:ascii="Times New Roman" w:hAnsi="Times New Roman" w:cs="Times New Roman"/>
                <w:bCs/>
                <w:color w:val="000000" w:themeColor="text1"/>
                <w:lang w:val="ro-MD"/>
              </w:rPr>
              <w:t>bancă</w:t>
            </w:r>
            <w:r w:rsidR="00951D3F" w:rsidRPr="004D6136">
              <w:rPr>
                <w:rFonts w:ascii="Times New Roman" w:hAnsi="Times New Roman" w:cs="Times New Roman"/>
                <w:bCs/>
                <w:color w:val="000000" w:themeColor="text1"/>
                <w:lang w:val="ro-MD"/>
              </w:rPr>
              <w:t xml:space="preserve">, dacă sunt îndeplinite </w:t>
            </w:r>
            <w:proofErr w:type="spellStart"/>
            <w:r w:rsidR="00951D3F" w:rsidRPr="004D6136">
              <w:rPr>
                <w:rFonts w:ascii="Times New Roman" w:hAnsi="Times New Roman" w:cs="Times New Roman"/>
                <w:bCs/>
                <w:color w:val="000000" w:themeColor="text1"/>
                <w:lang w:val="ro-MD"/>
              </w:rPr>
              <w:t>condiţiile</w:t>
            </w:r>
            <w:proofErr w:type="spellEnd"/>
            <w:r w:rsidR="00951D3F" w:rsidRPr="004D6136">
              <w:rPr>
                <w:rFonts w:ascii="Times New Roman" w:hAnsi="Times New Roman" w:cs="Times New Roman"/>
                <w:bCs/>
                <w:color w:val="000000" w:themeColor="text1"/>
                <w:lang w:val="ro-MD"/>
              </w:rPr>
              <w:t xml:space="preserve"> prevăzute la </w:t>
            </w:r>
            <w:r w:rsidRPr="004D6136">
              <w:rPr>
                <w:rFonts w:ascii="Times New Roman" w:eastAsia="Times New Roman" w:hAnsi="Times New Roman" w:cs="Times New Roman"/>
                <w:bCs/>
                <w:lang w:val="ro-RO" w:eastAsia="ro-MD"/>
              </w:rPr>
              <w:t xml:space="preserve">Regulamentul privind riscul de credit al </w:t>
            </w:r>
            <w:proofErr w:type="spellStart"/>
            <w:r w:rsidRPr="004D6136">
              <w:rPr>
                <w:rFonts w:ascii="Times New Roman" w:eastAsia="Times New Roman" w:hAnsi="Times New Roman" w:cs="Times New Roman"/>
                <w:bCs/>
                <w:lang w:val="ro-RO" w:eastAsia="ro-MD"/>
              </w:rPr>
              <w:t>contrapărții</w:t>
            </w:r>
            <w:proofErr w:type="spellEnd"/>
            <w:r w:rsidRPr="004D6136">
              <w:rPr>
                <w:rFonts w:ascii="Times New Roman" w:eastAsia="Times New Roman" w:hAnsi="Times New Roman" w:cs="Times New Roman"/>
                <w:bCs/>
                <w:lang w:val="ro-RO" w:eastAsia="ro-MD"/>
              </w:rPr>
              <w:t xml:space="preserve"> pentru bănci</w:t>
            </w:r>
            <w:r w:rsidRPr="004D6136" w:rsidDel="001F7164">
              <w:rPr>
                <w:rFonts w:ascii="Times New Roman" w:hAnsi="Times New Roman" w:cs="Times New Roman"/>
                <w:bCs/>
                <w:color w:val="000000" w:themeColor="text1"/>
                <w:lang w:val="ro-MD"/>
              </w:rPr>
              <w:t xml:space="preserve"> </w:t>
            </w:r>
            <w:r w:rsidR="00951D3F" w:rsidRPr="004D6136">
              <w:rPr>
                <w:rFonts w:ascii="Times New Roman" w:hAnsi="Times New Roman" w:cs="Times New Roman"/>
                <w:bCs/>
                <w:color w:val="000000" w:themeColor="text1"/>
                <w:lang w:val="ro-MD"/>
              </w:rPr>
              <w:t xml:space="preserve">și dacă </w:t>
            </w:r>
            <w:r w:rsidR="00DF7588" w:rsidRPr="004D6136">
              <w:rPr>
                <w:rFonts w:ascii="Times New Roman" w:hAnsi="Times New Roman" w:cs="Times New Roman"/>
                <w:bCs/>
                <w:color w:val="000000" w:themeColor="text1"/>
                <w:lang w:val="ro-MD"/>
              </w:rPr>
              <w:t xml:space="preserve">banca </w:t>
            </w:r>
            <w:r w:rsidR="00951D3F" w:rsidRPr="004D6136">
              <w:rPr>
                <w:rFonts w:ascii="Times New Roman" w:hAnsi="Times New Roman" w:cs="Times New Roman"/>
                <w:bCs/>
                <w:color w:val="000000" w:themeColor="text1"/>
                <w:lang w:val="ro-MD"/>
              </w:rPr>
              <w:t xml:space="preserve">nu are </w:t>
            </w:r>
            <w:proofErr w:type="spellStart"/>
            <w:r w:rsidR="00951D3F" w:rsidRPr="004D6136">
              <w:rPr>
                <w:rFonts w:ascii="Times New Roman" w:hAnsi="Times New Roman" w:cs="Times New Roman"/>
                <w:bCs/>
                <w:color w:val="000000" w:themeColor="text1"/>
                <w:lang w:val="ro-MD"/>
              </w:rPr>
              <w:t>obligaţia</w:t>
            </w:r>
            <w:proofErr w:type="spellEnd"/>
            <w:r w:rsidR="00951D3F" w:rsidRPr="004D6136">
              <w:rPr>
                <w:rFonts w:ascii="Times New Roman" w:hAnsi="Times New Roman" w:cs="Times New Roman"/>
                <w:bCs/>
                <w:color w:val="000000" w:themeColor="text1"/>
                <w:lang w:val="ro-MD"/>
              </w:rPr>
              <w:t xml:space="preserve"> de a rambursa clientului său pierderile eventuale suferite în cazul intrării în stare de nerambursare a membrului compensator sau a CPCC-ului;</w:t>
            </w:r>
          </w:p>
          <w:p w14:paraId="7A9EE57F" w14:textId="4551DA3B" w:rsidR="00951D3F" w:rsidRPr="004D6136" w:rsidRDefault="004E12DB"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1</w:t>
            </w:r>
            <w:r w:rsidR="008B3310" w:rsidRPr="004D6136">
              <w:rPr>
                <w:rFonts w:ascii="Times New Roman" w:hAnsi="Times New Roman" w:cs="Times New Roman"/>
                <w:bCs/>
                <w:color w:val="000000" w:themeColor="text1"/>
                <w:lang w:val="ro-MD"/>
              </w:rPr>
              <w:t>9</w:t>
            </w:r>
            <w:r w:rsidRPr="004D6136">
              <w:rPr>
                <w:rFonts w:ascii="Times New Roman" w:hAnsi="Times New Roman" w:cs="Times New Roman"/>
                <w:bCs/>
                <w:color w:val="000000" w:themeColor="text1"/>
                <w:lang w:val="ro-MD"/>
              </w:rPr>
              <w:t>.</w:t>
            </w:r>
            <w:r w:rsidR="00B56114" w:rsidRPr="004D6136">
              <w:rPr>
                <w:rFonts w:ascii="Times New Roman" w:hAnsi="Times New Roman" w:cs="Times New Roman"/>
                <w:bCs/>
                <w:color w:val="000000" w:themeColor="text1"/>
                <w:lang w:val="ro-MD"/>
              </w:rPr>
              <w:t>6</w:t>
            </w:r>
            <w:r w:rsidRPr="004D6136">
              <w:rPr>
                <w:rFonts w:ascii="Times New Roman" w:hAnsi="Times New Roman" w:cs="Times New Roman"/>
                <w:bCs/>
                <w:color w:val="000000" w:themeColor="text1"/>
                <w:lang w:val="ro-MD"/>
              </w:rPr>
              <w:t>.</w:t>
            </w:r>
            <w:r w:rsidR="00951D3F" w:rsidRPr="004D6136">
              <w:rPr>
                <w:rFonts w:ascii="Times New Roman" w:hAnsi="Times New Roman" w:cs="Times New Roman"/>
                <w:bCs/>
                <w:color w:val="000000" w:themeColor="text1"/>
                <w:lang w:val="ro-MD"/>
              </w:rPr>
              <w:t xml:space="preserve"> activele fiduciare care îndeplinesc cumulativ următoarele </w:t>
            </w:r>
            <w:proofErr w:type="spellStart"/>
            <w:r w:rsidR="00951D3F" w:rsidRPr="004D6136">
              <w:rPr>
                <w:rFonts w:ascii="Times New Roman" w:hAnsi="Times New Roman" w:cs="Times New Roman"/>
                <w:bCs/>
                <w:color w:val="000000" w:themeColor="text1"/>
                <w:lang w:val="ro-MD"/>
              </w:rPr>
              <w:t>condiţii</w:t>
            </w:r>
            <w:proofErr w:type="spellEnd"/>
            <w:r w:rsidR="00951D3F" w:rsidRPr="004D6136">
              <w:rPr>
                <w:rFonts w:ascii="Times New Roman" w:hAnsi="Times New Roman" w:cs="Times New Roman"/>
                <w:bCs/>
                <w:color w:val="000000" w:themeColor="text1"/>
                <w:lang w:val="ro-MD"/>
              </w:rPr>
              <w:t>:</w:t>
            </w:r>
          </w:p>
          <w:p w14:paraId="3CD7366B" w14:textId="44822C26" w:rsidR="00951D3F" w:rsidRPr="004D6136" w:rsidRDefault="004E12DB"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1</w:t>
            </w:r>
            <w:r w:rsidR="008B3310" w:rsidRPr="004D6136">
              <w:rPr>
                <w:rFonts w:ascii="Times New Roman" w:hAnsi="Times New Roman" w:cs="Times New Roman"/>
                <w:bCs/>
                <w:color w:val="000000" w:themeColor="text1"/>
                <w:lang w:val="ro-MD"/>
              </w:rPr>
              <w:t>9</w:t>
            </w:r>
            <w:r w:rsidRPr="004D6136">
              <w:rPr>
                <w:rFonts w:ascii="Times New Roman" w:hAnsi="Times New Roman" w:cs="Times New Roman"/>
                <w:bCs/>
                <w:color w:val="000000" w:themeColor="text1"/>
                <w:lang w:val="ro-MD"/>
              </w:rPr>
              <w:t>.</w:t>
            </w:r>
            <w:r w:rsidR="00B56114" w:rsidRPr="004D6136">
              <w:rPr>
                <w:rFonts w:ascii="Times New Roman" w:hAnsi="Times New Roman" w:cs="Times New Roman"/>
                <w:bCs/>
                <w:color w:val="000000" w:themeColor="text1"/>
                <w:lang w:val="ro-MD"/>
              </w:rPr>
              <w:t>6</w:t>
            </w:r>
            <w:r w:rsidRPr="004D6136">
              <w:rPr>
                <w:rFonts w:ascii="Times New Roman" w:hAnsi="Times New Roman" w:cs="Times New Roman"/>
                <w:bCs/>
                <w:color w:val="000000" w:themeColor="text1"/>
                <w:lang w:val="ro-MD"/>
              </w:rPr>
              <w:t>.</w:t>
            </w:r>
            <w:r w:rsidR="0009072F" w:rsidRPr="004D6136">
              <w:rPr>
                <w:rFonts w:ascii="Times New Roman" w:hAnsi="Times New Roman" w:cs="Times New Roman"/>
                <w:bCs/>
                <w:color w:val="000000" w:themeColor="text1"/>
                <w:lang w:val="ro-MD"/>
              </w:rPr>
              <w:t>1.</w:t>
            </w:r>
            <w:r w:rsidR="00951D3F" w:rsidRPr="004D6136">
              <w:rPr>
                <w:rFonts w:ascii="Times New Roman" w:hAnsi="Times New Roman" w:cs="Times New Roman"/>
                <w:bCs/>
                <w:color w:val="000000" w:themeColor="text1"/>
                <w:lang w:val="ro-MD"/>
              </w:rPr>
              <w:t xml:space="preserve"> sunt recunoscute în </w:t>
            </w:r>
            <w:proofErr w:type="spellStart"/>
            <w:r w:rsidR="00951D3F" w:rsidRPr="004D6136">
              <w:rPr>
                <w:rFonts w:ascii="Times New Roman" w:hAnsi="Times New Roman" w:cs="Times New Roman"/>
                <w:bCs/>
                <w:color w:val="000000" w:themeColor="text1"/>
                <w:lang w:val="ro-MD"/>
              </w:rPr>
              <w:t>bilanţul</w:t>
            </w:r>
            <w:proofErr w:type="spellEnd"/>
            <w:r w:rsidR="00951D3F" w:rsidRPr="004D6136">
              <w:rPr>
                <w:rFonts w:ascii="Times New Roman" w:hAnsi="Times New Roman" w:cs="Times New Roman"/>
                <w:bCs/>
                <w:color w:val="000000" w:themeColor="text1"/>
                <w:lang w:val="ro-MD"/>
              </w:rPr>
              <w:t xml:space="preserve"> </w:t>
            </w:r>
            <w:r w:rsidR="0009072F" w:rsidRPr="004D6136">
              <w:rPr>
                <w:rFonts w:ascii="Times New Roman" w:hAnsi="Times New Roman" w:cs="Times New Roman"/>
                <w:bCs/>
                <w:color w:val="000000" w:themeColor="text1"/>
                <w:lang w:val="ro-MD"/>
              </w:rPr>
              <w:t xml:space="preserve">băncii </w:t>
            </w:r>
            <w:r w:rsidR="00951D3F" w:rsidRPr="004D6136">
              <w:rPr>
                <w:rFonts w:ascii="Times New Roman" w:hAnsi="Times New Roman" w:cs="Times New Roman"/>
                <w:bCs/>
                <w:color w:val="000000" w:themeColor="text1"/>
                <w:lang w:val="ro-MD"/>
              </w:rPr>
              <w:t xml:space="preserve">în </w:t>
            </w:r>
            <w:proofErr w:type="spellStart"/>
            <w:r w:rsidR="00951D3F" w:rsidRPr="004D6136">
              <w:rPr>
                <w:rFonts w:ascii="Times New Roman" w:hAnsi="Times New Roman" w:cs="Times New Roman"/>
                <w:bCs/>
                <w:color w:val="000000" w:themeColor="text1"/>
                <w:lang w:val="ro-MD"/>
              </w:rPr>
              <w:t>concordanţă</w:t>
            </w:r>
            <w:proofErr w:type="spellEnd"/>
            <w:r w:rsidR="00951D3F" w:rsidRPr="004D6136">
              <w:rPr>
                <w:rFonts w:ascii="Times New Roman" w:hAnsi="Times New Roman" w:cs="Times New Roman"/>
                <w:bCs/>
                <w:color w:val="000000" w:themeColor="text1"/>
                <w:lang w:val="ro-MD"/>
              </w:rPr>
              <w:t xml:space="preserve"> cu principiile contabile </w:t>
            </w:r>
            <w:r w:rsidR="006D2495" w:rsidRPr="004D6136">
              <w:rPr>
                <w:rFonts w:ascii="Times New Roman" w:hAnsi="Times New Roman" w:cs="Times New Roman"/>
                <w:bCs/>
                <w:color w:val="000000" w:themeColor="text1"/>
                <w:lang w:val="ro-MD"/>
              </w:rPr>
              <w:t>generale prevăzute la art. 6 din</w:t>
            </w:r>
            <w:r w:rsidR="00951D3F" w:rsidRPr="004D6136">
              <w:rPr>
                <w:rFonts w:ascii="Times New Roman" w:hAnsi="Times New Roman" w:cs="Times New Roman"/>
                <w:bCs/>
                <w:color w:val="000000" w:themeColor="text1"/>
                <w:lang w:val="ro-MD"/>
              </w:rPr>
              <w:t xml:space="preserve"> </w:t>
            </w:r>
            <w:r w:rsidRPr="004D6136">
              <w:rPr>
                <w:rFonts w:ascii="Times New Roman" w:hAnsi="Times New Roman" w:cs="Times New Roman"/>
                <w:bCs/>
                <w:color w:val="000000" w:themeColor="text1"/>
                <w:lang w:val="ro-MD"/>
              </w:rPr>
              <w:t>Legea nr.287/2017 contabilității și raportării financiare</w:t>
            </w:r>
            <w:r w:rsidR="00951D3F" w:rsidRPr="004D6136">
              <w:rPr>
                <w:rFonts w:ascii="Times New Roman" w:hAnsi="Times New Roman" w:cs="Times New Roman"/>
                <w:bCs/>
                <w:color w:val="000000" w:themeColor="text1"/>
                <w:lang w:val="ro-MD"/>
              </w:rPr>
              <w:t>;</w:t>
            </w:r>
          </w:p>
          <w:p w14:paraId="274F7553" w14:textId="20185A9A" w:rsidR="00951D3F" w:rsidRPr="004D6136" w:rsidRDefault="004E12DB"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1</w:t>
            </w:r>
            <w:r w:rsidR="008B3310" w:rsidRPr="004D6136">
              <w:rPr>
                <w:rFonts w:ascii="Times New Roman" w:hAnsi="Times New Roman" w:cs="Times New Roman"/>
                <w:bCs/>
                <w:color w:val="000000" w:themeColor="text1"/>
                <w:lang w:val="ro-MD"/>
              </w:rPr>
              <w:t>9</w:t>
            </w:r>
            <w:r w:rsidRPr="004D6136">
              <w:rPr>
                <w:rFonts w:ascii="Times New Roman" w:hAnsi="Times New Roman" w:cs="Times New Roman"/>
                <w:bCs/>
                <w:color w:val="000000" w:themeColor="text1"/>
                <w:lang w:val="ro-MD"/>
              </w:rPr>
              <w:t>.</w:t>
            </w:r>
            <w:r w:rsidR="00B56114" w:rsidRPr="004D6136">
              <w:rPr>
                <w:rFonts w:ascii="Times New Roman" w:hAnsi="Times New Roman" w:cs="Times New Roman"/>
                <w:bCs/>
                <w:color w:val="000000" w:themeColor="text1"/>
                <w:lang w:val="ro-MD"/>
              </w:rPr>
              <w:t>6</w:t>
            </w:r>
            <w:r w:rsidRPr="004D6136">
              <w:rPr>
                <w:rFonts w:ascii="Times New Roman" w:hAnsi="Times New Roman" w:cs="Times New Roman"/>
                <w:bCs/>
                <w:color w:val="000000" w:themeColor="text1"/>
                <w:lang w:val="ro-MD"/>
              </w:rPr>
              <w:t>.2</w:t>
            </w:r>
            <w:r w:rsidR="000E185D" w:rsidRPr="004D6136">
              <w:rPr>
                <w:rFonts w:ascii="Times New Roman" w:hAnsi="Times New Roman" w:cs="Times New Roman"/>
                <w:bCs/>
                <w:color w:val="000000" w:themeColor="text1"/>
                <w:lang w:val="ro-MD"/>
              </w:rPr>
              <w:t>.</w:t>
            </w:r>
            <w:r w:rsidR="00951D3F" w:rsidRPr="004D6136">
              <w:rPr>
                <w:rFonts w:ascii="Times New Roman" w:hAnsi="Times New Roman" w:cs="Times New Roman"/>
                <w:bCs/>
                <w:color w:val="000000" w:themeColor="text1"/>
                <w:lang w:val="ro-MD"/>
              </w:rPr>
              <w:t xml:space="preserve"> îndeplinesc criteriile pentru </w:t>
            </w:r>
            <w:proofErr w:type="spellStart"/>
            <w:r w:rsidR="00951D3F" w:rsidRPr="004D6136">
              <w:rPr>
                <w:rFonts w:ascii="Times New Roman" w:hAnsi="Times New Roman" w:cs="Times New Roman"/>
                <w:bCs/>
                <w:color w:val="000000" w:themeColor="text1"/>
                <w:lang w:val="ro-MD"/>
              </w:rPr>
              <w:t>derecunoaștere</w:t>
            </w:r>
            <w:proofErr w:type="spellEnd"/>
            <w:r w:rsidR="00951D3F" w:rsidRPr="004D6136">
              <w:rPr>
                <w:rFonts w:ascii="Times New Roman" w:hAnsi="Times New Roman" w:cs="Times New Roman"/>
                <w:bCs/>
                <w:color w:val="000000" w:themeColor="text1"/>
                <w:lang w:val="ro-MD"/>
              </w:rPr>
              <w:t xml:space="preserve"> prevăzute de standardul </w:t>
            </w:r>
            <w:proofErr w:type="spellStart"/>
            <w:r w:rsidR="00951D3F" w:rsidRPr="004D6136">
              <w:rPr>
                <w:rFonts w:ascii="Times New Roman" w:hAnsi="Times New Roman" w:cs="Times New Roman"/>
                <w:bCs/>
                <w:color w:val="000000" w:themeColor="text1"/>
                <w:lang w:val="ro-MD"/>
              </w:rPr>
              <w:t>internaţional</w:t>
            </w:r>
            <w:proofErr w:type="spellEnd"/>
            <w:r w:rsidR="00951D3F" w:rsidRPr="004D6136">
              <w:rPr>
                <w:rFonts w:ascii="Times New Roman" w:hAnsi="Times New Roman" w:cs="Times New Roman"/>
                <w:bCs/>
                <w:color w:val="000000" w:themeColor="text1"/>
                <w:lang w:val="ro-MD"/>
              </w:rPr>
              <w:t xml:space="preserve"> de raportare financiară (IFRS) 9;</w:t>
            </w:r>
          </w:p>
          <w:p w14:paraId="2E54AB73" w14:textId="68503703" w:rsidR="00951D3F" w:rsidRPr="004D6136" w:rsidRDefault="004E12DB"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1</w:t>
            </w:r>
            <w:r w:rsidR="008B3310" w:rsidRPr="004D6136">
              <w:rPr>
                <w:rFonts w:ascii="Times New Roman" w:hAnsi="Times New Roman" w:cs="Times New Roman"/>
                <w:bCs/>
                <w:color w:val="000000" w:themeColor="text1"/>
                <w:lang w:val="ro-MD"/>
              </w:rPr>
              <w:t>9</w:t>
            </w:r>
            <w:r w:rsidRPr="004D6136">
              <w:rPr>
                <w:rFonts w:ascii="Times New Roman" w:hAnsi="Times New Roman" w:cs="Times New Roman"/>
                <w:bCs/>
                <w:color w:val="000000" w:themeColor="text1"/>
                <w:lang w:val="ro-MD"/>
              </w:rPr>
              <w:t>.</w:t>
            </w:r>
            <w:r w:rsidR="00B56114" w:rsidRPr="004D6136">
              <w:rPr>
                <w:rFonts w:ascii="Times New Roman" w:hAnsi="Times New Roman" w:cs="Times New Roman"/>
                <w:bCs/>
                <w:color w:val="000000" w:themeColor="text1"/>
                <w:lang w:val="ro-MD"/>
              </w:rPr>
              <w:t>6</w:t>
            </w:r>
            <w:r w:rsidRPr="004D6136">
              <w:rPr>
                <w:rFonts w:ascii="Times New Roman" w:hAnsi="Times New Roman" w:cs="Times New Roman"/>
                <w:bCs/>
                <w:color w:val="000000" w:themeColor="text1"/>
                <w:lang w:val="ro-MD"/>
              </w:rPr>
              <w:t>.3.</w:t>
            </w:r>
            <w:r w:rsidR="00951D3F" w:rsidRPr="004D6136">
              <w:rPr>
                <w:rFonts w:ascii="Times New Roman" w:hAnsi="Times New Roman" w:cs="Times New Roman"/>
                <w:bCs/>
                <w:color w:val="000000" w:themeColor="text1"/>
                <w:lang w:val="ro-MD"/>
              </w:rPr>
              <w:t xml:space="preserve"> îndeplinesc criteriile pentru neconsolidare prevăzute de IFRS 10, dacă este cazul;</w:t>
            </w:r>
          </w:p>
          <w:p w14:paraId="01421A65" w14:textId="006BD5EF" w:rsidR="00951D3F" w:rsidRPr="004D6136" w:rsidRDefault="000E185D"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1</w:t>
            </w:r>
            <w:r w:rsidR="008B3310" w:rsidRPr="004D6136">
              <w:rPr>
                <w:rFonts w:ascii="Times New Roman" w:hAnsi="Times New Roman" w:cs="Times New Roman"/>
                <w:bCs/>
                <w:color w:val="000000" w:themeColor="text1"/>
                <w:lang w:val="ro-MD"/>
              </w:rPr>
              <w:t>9</w:t>
            </w:r>
            <w:r w:rsidRPr="004D6136">
              <w:rPr>
                <w:rFonts w:ascii="Times New Roman" w:hAnsi="Times New Roman" w:cs="Times New Roman"/>
                <w:bCs/>
                <w:color w:val="000000" w:themeColor="text1"/>
                <w:lang w:val="ro-MD"/>
              </w:rPr>
              <w:t>.</w:t>
            </w:r>
            <w:r w:rsidR="00B56114" w:rsidRPr="004D6136">
              <w:rPr>
                <w:rFonts w:ascii="Times New Roman" w:hAnsi="Times New Roman" w:cs="Times New Roman"/>
                <w:bCs/>
                <w:color w:val="000000" w:themeColor="text1"/>
                <w:lang w:val="ro-MD"/>
              </w:rPr>
              <w:t>7</w:t>
            </w:r>
            <w:r w:rsidR="004E12DB" w:rsidRPr="004D6136">
              <w:rPr>
                <w:rFonts w:ascii="Times New Roman" w:hAnsi="Times New Roman" w:cs="Times New Roman"/>
                <w:bCs/>
                <w:color w:val="000000" w:themeColor="text1"/>
                <w:lang w:val="ro-MD"/>
              </w:rPr>
              <w:t>.</w:t>
            </w:r>
            <w:r w:rsidR="00951D3F" w:rsidRPr="004D6136">
              <w:rPr>
                <w:rFonts w:ascii="Times New Roman" w:hAnsi="Times New Roman" w:cs="Times New Roman"/>
                <w:bCs/>
                <w:color w:val="000000" w:themeColor="text1"/>
                <w:lang w:val="ro-MD"/>
              </w:rPr>
              <w:t xml:space="preserve"> expunerile care îndeplinesc cumulativ următoarele </w:t>
            </w:r>
            <w:proofErr w:type="spellStart"/>
            <w:r w:rsidR="00951D3F" w:rsidRPr="004D6136">
              <w:rPr>
                <w:rFonts w:ascii="Times New Roman" w:hAnsi="Times New Roman" w:cs="Times New Roman"/>
                <w:bCs/>
                <w:color w:val="000000" w:themeColor="text1"/>
                <w:lang w:val="ro-MD"/>
              </w:rPr>
              <w:t>condiţii</w:t>
            </w:r>
            <w:proofErr w:type="spellEnd"/>
            <w:r w:rsidR="00951D3F" w:rsidRPr="004D6136">
              <w:rPr>
                <w:rFonts w:ascii="Times New Roman" w:hAnsi="Times New Roman" w:cs="Times New Roman"/>
                <w:bCs/>
                <w:color w:val="000000" w:themeColor="text1"/>
                <w:lang w:val="ro-MD"/>
              </w:rPr>
              <w:t>:</w:t>
            </w:r>
          </w:p>
          <w:p w14:paraId="5FFB5055" w14:textId="43FAF316" w:rsidR="00951D3F" w:rsidRPr="004D6136" w:rsidRDefault="004E12DB"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1</w:t>
            </w:r>
            <w:r w:rsidR="008B3310" w:rsidRPr="004D6136">
              <w:rPr>
                <w:rFonts w:ascii="Times New Roman" w:hAnsi="Times New Roman" w:cs="Times New Roman"/>
                <w:bCs/>
                <w:color w:val="000000" w:themeColor="text1"/>
                <w:lang w:val="ro-MD"/>
              </w:rPr>
              <w:t>9</w:t>
            </w:r>
            <w:r w:rsidRPr="004D6136">
              <w:rPr>
                <w:rFonts w:ascii="Times New Roman" w:hAnsi="Times New Roman" w:cs="Times New Roman"/>
                <w:bCs/>
                <w:color w:val="000000" w:themeColor="text1"/>
                <w:lang w:val="ro-MD"/>
              </w:rPr>
              <w:t>.</w:t>
            </w:r>
            <w:r w:rsidR="00B56114" w:rsidRPr="004D6136">
              <w:rPr>
                <w:rFonts w:ascii="Times New Roman" w:hAnsi="Times New Roman" w:cs="Times New Roman"/>
                <w:bCs/>
                <w:color w:val="000000" w:themeColor="text1"/>
                <w:lang w:val="ro-MD"/>
              </w:rPr>
              <w:t>7</w:t>
            </w:r>
            <w:r w:rsidRPr="004D6136">
              <w:rPr>
                <w:rFonts w:ascii="Times New Roman" w:hAnsi="Times New Roman" w:cs="Times New Roman"/>
                <w:bCs/>
                <w:color w:val="000000" w:themeColor="text1"/>
                <w:lang w:val="ro-MD"/>
              </w:rPr>
              <w:t>.1.</w:t>
            </w:r>
            <w:r w:rsidR="00951D3F" w:rsidRPr="004D6136">
              <w:rPr>
                <w:rFonts w:ascii="Times New Roman" w:hAnsi="Times New Roman" w:cs="Times New Roman"/>
                <w:bCs/>
                <w:color w:val="000000" w:themeColor="text1"/>
                <w:lang w:val="ro-MD"/>
              </w:rPr>
              <w:t xml:space="preserve"> sunt expuneri </w:t>
            </w:r>
            <w:proofErr w:type="spellStart"/>
            <w:r w:rsidR="00951D3F" w:rsidRPr="004D6136">
              <w:rPr>
                <w:rFonts w:ascii="Times New Roman" w:hAnsi="Times New Roman" w:cs="Times New Roman"/>
                <w:bCs/>
                <w:color w:val="000000" w:themeColor="text1"/>
                <w:lang w:val="ro-MD"/>
              </w:rPr>
              <w:t>faţă</w:t>
            </w:r>
            <w:proofErr w:type="spellEnd"/>
            <w:r w:rsidR="00951D3F" w:rsidRPr="004D6136">
              <w:rPr>
                <w:rFonts w:ascii="Times New Roman" w:hAnsi="Times New Roman" w:cs="Times New Roman"/>
                <w:bCs/>
                <w:color w:val="000000" w:themeColor="text1"/>
                <w:lang w:val="ro-MD"/>
              </w:rPr>
              <w:t xml:space="preserve"> de o entitate din sectorul public;</w:t>
            </w:r>
          </w:p>
          <w:p w14:paraId="4745BD33" w14:textId="492B96AD" w:rsidR="00951D3F" w:rsidRPr="004D6136" w:rsidRDefault="000E185D"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1</w:t>
            </w:r>
            <w:r w:rsidR="008B3310" w:rsidRPr="004D6136">
              <w:rPr>
                <w:rFonts w:ascii="Times New Roman" w:hAnsi="Times New Roman" w:cs="Times New Roman"/>
                <w:bCs/>
                <w:color w:val="000000" w:themeColor="text1"/>
                <w:lang w:val="ro-MD"/>
              </w:rPr>
              <w:t>9</w:t>
            </w:r>
            <w:r w:rsidR="004E12DB" w:rsidRPr="004D6136">
              <w:rPr>
                <w:rFonts w:ascii="Times New Roman" w:hAnsi="Times New Roman" w:cs="Times New Roman"/>
                <w:bCs/>
                <w:color w:val="000000" w:themeColor="text1"/>
                <w:lang w:val="ro-MD"/>
              </w:rPr>
              <w:t>.</w:t>
            </w:r>
            <w:r w:rsidR="00B56114" w:rsidRPr="004D6136">
              <w:rPr>
                <w:rFonts w:ascii="Times New Roman" w:hAnsi="Times New Roman" w:cs="Times New Roman"/>
                <w:bCs/>
                <w:color w:val="000000" w:themeColor="text1"/>
                <w:lang w:val="ro-MD"/>
              </w:rPr>
              <w:t>7</w:t>
            </w:r>
            <w:r w:rsidR="004E12DB" w:rsidRPr="004D6136">
              <w:rPr>
                <w:rFonts w:ascii="Times New Roman" w:hAnsi="Times New Roman" w:cs="Times New Roman"/>
                <w:bCs/>
                <w:color w:val="000000" w:themeColor="text1"/>
                <w:lang w:val="ro-MD"/>
              </w:rPr>
              <w:t>.2</w:t>
            </w:r>
            <w:r w:rsidRPr="004D6136">
              <w:rPr>
                <w:rFonts w:ascii="Times New Roman" w:hAnsi="Times New Roman" w:cs="Times New Roman"/>
                <w:bCs/>
                <w:color w:val="000000" w:themeColor="text1"/>
                <w:lang w:val="ro-MD"/>
              </w:rPr>
              <w:t>.</w:t>
            </w:r>
            <w:r w:rsidR="00951D3F" w:rsidRPr="004D6136">
              <w:rPr>
                <w:rFonts w:ascii="Times New Roman" w:hAnsi="Times New Roman" w:cs="Times New Roman"/>
                <w:bCs/>
                <w:color w:val="000000" w:themeColor="text1"/>
                <w:lang w:val="ro-MD"/>
              </w:rPr>
              <w:t xml:space="preserve"> sunt tratate în conformitate cu</w:t>
            </w:r>
            <w:r w:rsidR="000A4F46" w:rsidRPr="004D6136">
              <w:rPr>
                <w:rFonts w:ascii="Times New Roman" w:hAnsi="Times New Roman" w:cs="Times New Roman"/>
                <w:bCs/>
                <w:color w:val="000000" w:themeColor="text1"/>
                <w:lang w:val="ro-MD"/>
              </w:rPr>
              <w:t xml:space="preserve"> pct.42 din Regulamentul nr.111/2018</w:t>
            </w:r>
            <w:r w:rsidR="00951D3F" w:rsidRPr="004D6136">
              <w:rPr>
                <w:rFonts w:ascii="Times New Roman" w:hAnsi="Times New Roman" w:cs="Times New Roman"/>
                <w:bCs/>
                <w:color w:val="000000" w:themeColor="text1"/>
                <w:lang w:val="ro-MD"/>
              </w:rPr>
              <w:t>;</w:t>
            </w:r>
          </w:p>
          <w:p w14:paraId="5978172E" w14:textId="5A894592" w:rsidR="00951D3F" w:rsidRPr="004D6136" w:rsidRDefault="004E12DB"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1</w:t>
            </w:r>
            <w:r w:rsidR="008B3310" w:rsidRPr="004D6136">
              <w:rPr>
                <w:rFonts w:ascii="Times New Roman" w:hAnsi="Times New Roman" w:cs="Times New Roman"/>
                <w:bCs/>
                <w:color w:val="000000" w:themeColor="text1"/>
                <w:lang w:val="ro-MD"/>
              </w:rPr>
              <w:t>9</w:t>
            </w:r>
            <w:r w:rsidRPr="004D6136">
              <w:rPr>
                <w:rFonts w:ascii="Times New Roman" w:hAnsi="Times New Roman" w:cs="Times New Roman"/>
                <w:bCs/>
                <w:color w:val="000000" w:themeColor="text1"/>
                <w:lang w:val="ro-MD"/>
              </w:rPr>
              <w:t>.</w:t>
            </w:r>
            <w:r w:rsidR="00B56114" w:rsidRPr="004D6136">
              <w:rPr>
                <w:rFonts w:ascii="Times New Roman" w:hAnsi="Times New Roman" w:cs="Times New Roman"/>
                <w:bCs/>
                <w:color w:val="000000" w:themeColor="text1"/>
                <w:lang w:val="ro-MD"/>
              </w:rPr>
              <w:t>7</w:t>
            </w:r>
            <w:r w:rsidR="000E185D" w:rsidRPr="004D6136">
              <w:rPr>
                <w:rFonts w:ascii="Times New Roman" w:hAnsi="Times New Roman" w:cs="Times New Roman"/>
                <w:bCs/>
                <w:color w:val="000000" w:themeColor="text1"/>
                <w:lang w:val="ro-MD"/>
              </w:rPr>
              <w:t>.3.</w:t>
            </w:r>
            <w:r w:rsidR="00951D3F" w:rsidRPr="004D6136">
              <w:rPr>
                <w:rFonts w:ascii="Times New Roman" w:hAnsi="Times New Roman" w:cs="Times New Roman"/>
                <w:bCs/>
                <w:color w:val="000000" w:themeColor="text1"/>
                <w:lang w:val="ro-MD"/>
              </w:rPr>
              <w:t xml:space="preserve"> rezultă din depozite pe care </w:t>
            </w:r>
            <w:r w:rsidR="000A4F46" w:rsidRPr="004D6136">
              <w:rPr>
                <w:rFonts w:ascii="Times New Roman" w:hAnsi="Times New Roman" w:cs="Times New Roman"/>
                <w:bCs/>
                <w:color w:val="000000" w:themeColor="text1"/>
                <w:lang w:val="ro-MD"/>
              </w:rPr>
              <w:t xml:space="preserve">banca </w:t>
            </w:r>
            <w:r w:rsidR="00951D3F" w:rsidRPr="004D6136">
              <w:rPr>
                <w:rFonts w:ascii="Times New Roman" w:hAnsi="Times New Roman" w:cs="Times New Roman"/>
                <w:bCs/>
                <w:color w:val="000000" w:themeColor="text1"/>
                <w:lang w:val="ro-MD"/>
              </w:rPr>
              <w:t xml:space="preserve">are </w:t>
            </w:r>
            <w:proofErr w:type="spellStart"/>
            <w:r w:rsidR="00951D3F" w:rsidRPr="004D6136">
              <w:rPr>
                <w:rFonts w:ascii="Times New Roman" w:hAnsi="Times New Roman" w:cs="Times New Roman"/>
                <w:bCs/>
                <w:color w:val="000000" w:themeColor="text1"/>
                <w:lang w:val="ro-MD"/>
              </w:rPr>
              <w:t>obligaţia</w:t>
            </w:r>
            <w:proofErr w:type="spellEnd"/>
            <w:r w:rsidR="00951D3F" w:rsidRPr="004D6136">
              <w:rPr>
                <w:rFonts w:ascii="Times New Roman" w:hAnsi="Times New Roman" w:cs="Times New Roman"/>
                <w:bCs/>
                <w:color w:val="000000" w:themeColor="text1"/>
                <w:lang w:val="ro-MD"/>
              </w:rPr>
              <w:t xml:space="preserve"> legală de a le transfera către entitatea din sectorul public </w:t>
            </w:r>
            <w:proofErr w:type="spellStart"/>
            <w:r w:rsidR="00951D3F" w:rsidRPr="004D6136">
              <w:rPr>
                <w:rFonts w:ascii="Times New Roman" w:hAnsi="Times New Roman" w:cs="Times New Roman"/>
                <w:bCs/>
                <w:color w:val="000000" w:themeColor="text1"/>
                <w:lang w:val="ro-MD"/>
              </w:rPr>
              <w:t>menţionată</w:t>
            </w:r>
            <w:proofErr w:type="spellEnd"/>
            <w:r w:rsidR="00951D3F" w:rsidRPr="004D6136">
              <w:rPr>
                <w:rFonts w:ascii="Times New Roman" w:hAnsi="Times New Roman" w:cs="Times New Roman"/>
                <w:bCs/>
                <w:color w:val="000000" w:themeColor="text1"/>
                <w:lang w:val="ro-MD"/>
              </w:rPr>
              <w:t xml:space="preserve"> la</w:t>
            </w:r>
            <w:r w:rsidR="00632C0E" w:rsidRPr="004D6136">
              <w:rPr>
                <w:rFonts w:ascii="Times New Roman" w:hAnsi="Times New Roman" w:cs="Times New Roman"/>
                <w:bCs/>
                <w:color w:val="000000" w:themeColor="text1"/>
                <w:lang w:val="ro-MD"/>
              </w:rPr>
              <w:t xml:space="preserve"> </w:t>
            </w:r>
            <w:r w:rsidR="000A4F46" w:rsidRPr="004D6136">
              <w:rPr>
                <w:rFonts w:ascii="Times New Roman" w:hAnsi="Times New Roman" w:cs="Times New Roman"/>
                <w:bCs/>
                <w:color w:val="000000" w:themeColor="text1"/>
                <w:lang w:val="ro-MD"/>
              </w:rPr>
              <w:t>subpct.</w:t>
            </w:r>
            <w:r w:rsidR="00280100" w:rsidRPr="004D6136">
              <w:rPr>
                <w:rFonts w:ascii="Times New Roman" w:hAnsi="Times New Roman" w:cs="Times New Roman"/>
                <w:bCs/>
                <w:color w:val="000000" w:themeColor="text1"/>
                <w:lang w:val="ro-MD"/>
              </w:rPr>
              <w:t>1</w:t>
            </w:r>
            <w:r w:rsidR="008B3310" w:rsidRPr="004D6136">
              <w:rPr>
                <w:rFonts w:ascii="Times New Roman" w:hAnsi="Times New Roman" w:cs="Times New Roman"/>
                <w:bCs/>
                <w:color w:val="000000" w:themeColor="text1"/>
                <w:lang w:val="ro-MD"/>
              </w:rPr>
              <w:t>9</w:t>
            </w:r>
            <w:r w:rsidR="00280100" w:rsidRPr="004D6136">
              <w:rPr>
                <w:rFonts w:ascii="Times New Roman" w:hAnsi="Times New Roman" w:cs="Times New Roman"/>
                <w:bCs/>
                <w:color w:val="000000" w:themeColor="text1"/>
                <w:lang w:val="ro-MD"/>
              </w:rPr>
              <w:t>.</w:t>
            </w:r>
            <w:r w:rsidR="00B56114" w:rsidRPr="004D6136">
              <w:rPr>
                <w:rFonts w:ascii="Times New Roman" w:hAnsi="Times New Roman" w:cs="Times New Roman"/>
                <w:bCs/>
                <w:color w:val="000000" w:themeColor="text1"/>
                <w:lang w:val="ro-MD"/>
              </w:rPr>
              <w:t>7</w:t>
            </w:r>
            <w:r w:rsidR="00280100" w:rsidRPr="004D6136">
              <w:rPr>
                <w:rFonts w:ascii="Times New Roman" w:hAnsi="Times New Roman" w:cs="Times New Roman"/>
                <w:bCs/>
                <w:color w:val="000000" w:themeColor="text1"/>
                <w:lang w:val="ro-MD"/>
              </w:rPr>
              <w:t>.1</w:t>
            </w:r>
            <w:r w:rsidR="00951D3F" w:rsidRPr="004D6136">
              <w:rPr>
                <w:rFonts w:ascii="Times New Roman" w:hAnsi="Times New Roman" w:cs="Times New Roman"/>
                <w:bCs/>
                <w:color w:val="000000" w:themeColor="text1"/>
                <w:lang w:val="ro-MD"/>
              </w:rPr>
              <w:t xml:space="preserve"> în scopul </w:t>
            </w:r>
            <w:proofErr w:type="spellStart"/>
            <w:r w:rsidR="00951D3F" w:rsidRPr="004D6136">
              <w:rPr>
                <w:rFonts w:ascii="Times New Roman" w:hAnsi="Times New Roman" w:cs="Times New Roman"/>
                <w:bCs/>
                <w:color w:val="000000" w:themeColor="text1"/>
                <w:lang w:val="ro-MD"/>
              </w:rPr>
              <w:t>finanţării</w:t>
            </w:r>
            <w:proofErr w:type="spellEnd"/>
            <w:r w:rsidR="00951D3F" w:rsidRPr="004D6136">
              <w:rPr>
                <w:rFonts w:ascii="Times New Roman" w:hAnsi="Times New Roman" w:cs="Times New Roman"/>
                <w:bCs/>
                <w:color w:val="000000" w:themeColor="text1"/>
                <w:lang w:val="ro-MD"/>
              </w:rPr>
              <w:t xml:space="preserve"> de </w:t>
            </w:r>
            <w:proofErr w:type="spellStart"/>
            <w:r w:rsidR="00951D3F" w:rsidRPr="004D6136">
              <w:rPr>
                <w:rFonts w:ascii="Times New Roman" w:hAnsi="Times New Roman" w:cs="Times New Roman"/>
                <w:bCs/>
                <w:color w:val="000000" w:themeColor="text1"/>
                <w:lang w:val="ro-MD"/>
              </w:rPr>
              <w:t>investiţii</w:t>
            </w:r>
            <w:proofErr w:type="spellEnd"/>
            <w:r w:rsidR="00951D3F" w:rsidRPr="004D6136">
              <w:rPr>
                <w:rFonts w:ascii="Times New Roman" w:hAnsi="Times New Roman" w:cs="Times New Roman"/>
                <w:bCs/>
                <w:color w:val="000000" w:themeColor="text1"/>
                <w:lang w:val="ro-MD"/>
              </w:rPr>
              <w:t xml:space="preserve"> de interes general;</w:t>
            </w:r>
          </w:p>
          <w:p w14:paraId="6F1E2EC1" w14:textId="0E2A0669" w:rsidR="00951D3F" w:rsidRPr="004D6136" w:rsidRDefault="007C6E3D"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1</w:t>
            </w:r>
            <w:r w:rsidR="008B3310" w:rsidRPr="004D6136">
              <w:rPr>
                <w:rFonts w:ascii="Times New Roman" w:hAnsi="Times New Roman" w:cs="Times New Roman"/>
                <w:bCs/>
                <w:color w:val="000000" w:themeColor="text1"/>
                <w:lang w:val="ro-MD"/>
              </w:rPr>
              <w:t>9</w:t>
            </w:r>
            <w:r w:rsidR="00280100" w:rsidRPr="004D6136">
              <w:rPr>
                <w:rFonts w:ascii="Times New Roman" w:hAnsi="Times New Roman" w:cs="Times New Roman"/>
                <w:bCs/>
                <w:color w:val="000000" w:themeColor="text1"/>
                <w:lang w:val="ro-MD"/>
              </w:rPr>
              <w:t>.</w:t>
            </w:r>
            <w:r w:rsidR="00B56114" w:rsidRPr="004D6136">
              <w:rPr>
                <w:rFonts w:ascii="Times New Roman" w:hAnsi="Times New Roman" w:cs="Times New Roman"/>
                <w:bCs/>
                <w:color w:val="000000" w:themeColor="text1"/>
                <w:lang w:val="ro-MD"/>
              </w:rPr>
              <w:t>8</w:t>
            </w:r>
            <w:r w:rsidRPr="004D6136">
              <w:rPr>
                <w:rFonts w:ascii="Times New Roman" w:hAnsi="Times New Roman" w:cs="Times New Roman"/>
                <w:bCs/>
                <w:color w:val="000000" w:themeColor="text1"/>
                <w:lang w:val="ro-MD"/>
              </w:rPr>
              <w:t>.</w:t>
            </w:r>
            <w:r w:rsidR="00951D3F" w:rsidRPr="004D6136">
              <w:rPr>
                <w:rFonts w:ascii="Times New Roman" w:hAnsi="Times New Roman" w:cs="Times New Roman"/>
                <w:bCs/>
                <w:color w:val="000000" w:themeColor="text1"/>
                <w:lang w:val="ro-MD"/>
              </w:rPr>
              <w:t xml:space="preserve"> </w:t>
            </w:r>
            <w:proofErr w:type="spellStart"/>
            <w:r w:rsidR="00951D3F" w:rsidRPr="004D6136">
              <w:rPr>
                <w:rFonts w:ascii="Times New Roman" w:hAnsi="Times New Roman" w:cs="Times New Roman"/>
                <w:bCs/>
                <w:color w:val="000000" w:themeColor="text1"/>
                <w:lang w:val="ro-MD"/>
              </w:rPr>
              <w:t>garanţiile</w:t>
            </w:r>
            <w:proofErr w:type="spellEnd"/>
            <w:r w:rsidR="00951D3F" w:rsidRPr="004D6136">
              <w:rPr>
                <w:rFonts w:ascii="Times New Roman" w:hAnsi="Times New Roman" w:cs="Times New Roman"/>
                <w:bCs/>
                <w:color w:val="000000" w:themeColor="text1"/>
                <w:lang w:val="ro-MD"/>
              </w:rPr>
              <w:t xml:space="preserve"> reale excedentare depuse la </w:t>
            </w:r>
            <w:proofErr w:type="spellStart"/>
            <w:r w:rsidR="00951D3F" w:rsidRPr="004D6136">
              <w:rPr>
                <w:rFonts w:ascii="Times New Roman" w:hAnsi="Times New Roman" w:cs="Times New Roman"/>
                <w:bCs/>
                <w:color w:val="000000" w:themeColor="text1"/>
                <w:lang w:val="ro-MD"/>
              </w:rPr>
              <w:t>agenţi</w:t>
            </w:r>
            <w:proofErr w:type="spellEnd"/>
            <w:r w:rsidR="00951D3F" w:rsidRPr="004D6136">
              <w:rPr>
                <w:rFonts w:ascii="Times New Roman" w:hAnsi="Times New Roman" w:cs="Times New Roman"/>
                <w:bCs/>
                <w:color w:val="000000" w:themeColor="text1"/>
                <w:lang w:val="ro-MD"/>
              </w:rPr>
              <w:t xml:space="preserve"> </w:t>
            </w:r>
            <w:proofErr w:type="spellStart"/>
            <w:r w:rsidR="00951D3F" w:rsidRPr="004D6136">
              <w:rPr>
                <w:rFonts w:ascii="Times New Roman" w:hAnsi="Times New Roman" w:cs="Times New Roman"/>
                <w:bCs/>
                <w:color w:val="000000" w:themeColor="text1"/>
                <w:lang w:val="ro-MD"/>
              </w:rPr>
              <w:t>tripartiţi</w:t>
            </w:r>
            <w:proofErr w:type="spellEnd"/>
            <w:r w:rsidR="00951D3F" w:rsidRPr="004D6136">
              <w:rPr>
                <w:rFonts w:ascii="Times New Roman" w:hAnsi="Times New Roman" w:cs="Times New Roman"/>
                <w:bCs/>
                <w:color w:val="000000" w:themeColor="text1"/>
                <w:lang w:val="ro-MD"/>
              </w:rPr>
              <w:t xml:space="preserve"> care nu au fost date cu împrumut;</w:t>
            </w:r>
          </w:p>
          <w:p w14:paraId="73F4834B" w14:textId="1845EBBB" w:rsidR="00951D3F" w:rsidRPr="004D6136" w:rsidRDefault="007C6E3D"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1</w:t>
            </w:r>
            <w:r w:rsidR="008B3310" w:rsidRPr="004D6136">
              <w:rPr>
                <w:rFonts w:ascii="Times New Roman" w:hAnsi="Times New Roman" w:cs="Times New Roman"/>
                <w:bCs/>
                <w:color w:val="000000" w:themeColor="text1"/>
                <w:lang w:val="ro-MD"/>
              </w:rPr>
              <w:t>9</w:t>
            </w:r>
            <w:r w:rsidR="00280100" w:rsidRPr="004D6136">
              <w:rPr>
                <w:rFonts w:ascii="Times New Roman" w:hAnsi="Times New Roman" w:cs="Times New Roman"/>
                <w:bCs/>
                <w:color w:val="000000" w:themeColor="text1"/>
                <w:lang w:val="ro-MD"/>
              </w:rPr>
              <w:t>.</w:t>
            </w:r>
            <w:r w:rsidR="00B56114" w:rsidRPr="004D6136">
              <w:rPr>
                <w:rFonts w:ascii="Times New Roman" w:hAnsi="Times New Roman" w:cs="Times New Roman"/>
                <w:bCs/>
                <w:color w:val="000000" w:themeColor="text1"/>
                <w:lang w:val="ro-MD"/>
              </w:rPr>
              <w:t>9</w:t>
            </w:r>
            <w:r w:rsidRPr="004D6136">
              <w:rPr>
                <w:rFonts w:ascii="Times New Roman" w:hAnsi="Times New Roman" w:cs="Times New Roman"/>
                <w:bCs/>
                <w:color w:val="000000" w:themeColor="text1"/>
                <w:lang w:val="ro-MD"/>
              </w:rPr>
              <w:t>.</w:t>
            </w:r>
            <w:r w:rsidR="00951D3F" w:rsidRPr="004D6136">
              <w:rPr>
                <w:rFonts w:ascii="Times New Roman" w:hAnsi="Times New Roman" w:cs="Times New Roman"/>
                <w:bCs/>
                <w:color w:val="000000" w:themeColor="text1"/>
                <w:lang w:val="ro-MD"/>
              </w:rPr>
              <w:t xml:space="preserve"> în cazul în care, în temeiul cadrului contabil aplicabil, o </w:t>
            </w:r>
            <w:r w:rsidRPr="004D6136">
              <w:rPr>
                <w:rFonts w:ascii="Times New Roman" w:hAnsi="Times New Roman" w:cs="Times New Roman"/>
                <w:bCs/>
                <w:color w:val="000000" w:themeColor="text1"/>
                <w:lang w:val="ro-MD"/>
              </w:rPr>
              <w:t xml:space="preserve">bancă </w:t>
            </w:r>
            <w:r w:rsidR="00951D3F" w:rsidRPr="004D6136">
              <w:rPr>
                <w:rFonts w:ascii="Times New Roman" w:hAnsi="Times New Roman" w:cs="Times New Roman"/>
                <w:bCs/>
                <w:color w:val="000000" w:themeColor="text1"/>
                <w:lang w:val="ro-MD"/>
              </w:rPr>
              <w:t xml:space="preserve">recunoaște marja de </w:t>
            </w:r>
            <w:proofErr w:type="spellStart"/>
            <w:r w:rsidR="00951D3F" w:rsidRPr="004D6136">
              <w:rPr>
                <w:rFonts w:ascii="Times New Roman" w:hAnsi="Times New Roman" w:cs="Times New Roman"/>
                <w:bCs/>
                <w:color w:val="000000" w:themeColor="text1"/>
                <w:lang w:val="ro-MD"/>
              </w:rPr>
              <w:t>variaţie</w:t>
            </w:r>
            <w:proofErr w:type="spellEnd"/>
            <w:r w:rsidR="00951D3F" w:rsidRPr="004D6136">
              <w:rPr>
                <w:rFonts w:ascii="Times New Roman" w:hAnsi="Times New Roman" w:cs="Times New Roman"/>
                <w:bCs/>
                <w:color w:val="000000" w:themeColor="text1"/>
                <w:lang w:val="ro-MD"/>
              </w:rPr>
              <w:t xml:space="preserve"> plătită în numerar </w:t>
            </w:r>
            <w:proofErr w:type="spellStart"/>
            <w:r w:rsidR="00951D3F" w:rsidRPr="004D6136">
              <w:rPr>
                <w:rFonts w:ascii="Times New Roman" w:hAnsi="Times New Roman" w:cs="Times New Roman"/>
                <w:bCs/>
                <w:color w:val="000000" w:themeColor="text1"/>
                <w:lang w:val="ro-MD"/>
              </w:rPr>
              <w:t>contrapărţii</w:t>
            </w:r>
            <w:proofErr w:type="spellEnd"/>
            <w:r w:rsidR="00951D3F" w:rsidRPr="004D6136">
              <w:rPr>
                <w:rFonts w:ascii="Times New Roman" w:hAnsi="Times New Roman" w:cs="Times New Roman"/>
                <w:bCs/>
                <w:color w:val="000000" w:themeColor="text1"/>
                <w:lang w:val="ro-MD"/>
              </w:rPr>
              <w:t xml:space="preserve"> ca </w:t>
            </w:r>
            <w:proofErr w:type="spellStart"/>
            <w:r w:rsidR="00951D3F" w:rsidRPr="004D6136">
              <w:rPr>
                <w:rFonts w:ascii="Times New Roman" w:hAnsi="Times New Roman" w:cs="Times New Roman"/>
                <w:bCs/>
                <w:color w:val="000000" w:themeColor="text1"/>
                <w:lang w:val="ro-MD"/>
              </w:rPr>
              <w:t>creanţă</w:t>
            </w:r>
            <w:proofErr w:type="spellEnd"/>
            <w:r w:rsidR="00951D3F" w:rsidRPr="004D6136">
              <w:rPr>
                <w:rFonts w:ascii="Times New Roman" w:hAnsi="Times New Roman" w:cs="Times New Roman"/>
                <w:bCs/>
                <w:color w:val="000000" w:themeColor="text1"/>
                <w:lang w:val="ro-MD"/>
              </w:rPr>
              <w:t xml:space="preserve"> de încasat, </w:t>
            </w:r>
            <w:proofErr w:type="spellStart"/>
            <w:r w:rsidR="00951D3F" w:rsidRPr="004D6136">
              <w:rPr>
                <w:rFonts w:ascii="Times New Roman" w:hAnsi="Times New Roman" w:cs="Times New Roman"/>
                <w:bCs/>
                <w:color w:val="000000" w:themeColor="text1"/>
                <w:lang w:val="ro-MD"/>
              </w:rPr>
              <w:t>creanţa</w:t>
            </w:r>
            <w:proofErr w:type="spellEnd"/>
            <w:r w:rsidR="00951D3F" w:rsidRPr="004D6136">
              <w:rPr>
                <w:rFonts w:ascii="Times New Roman" w:hAnsi="Times New Roman" w:cs="Times New Roman"/>
                <w:bCs/>
                <w:color w:val="000000" w:themeColor="text1"/>
                <w:lang w:val="ro-MD"/>
              </w:rPr>
              <w:t xml:space="preserve"> de încasat respectivă, dacă sunt îndeplinite </w:t>
            </w:r>
            <w:proofErr w:type="spellStart"/>
            <w:r w:rsidR="00951D3F" w:rsidRPr="004D6136">
              <w:rPr>
                <w:rFonts w:ascii="Times New Roman" w:hAnsi="Times New Roman" w:cs="Times New Roman"/>
                <w:bCs/>
                <w:color w:val="000000" w:themeColor="text1"/>
                <w:lang w:val="ro-MD"/>
              </w:rPr>
              <w:t>condiţiile</w:t>
            </w:r>
            <w:proofErr w:type="spellEnd"/>
            <w:r w:rsidR="00951D3F" w:rsidRPr="004D6136">
              <w:rPr>
                <w:rFonts w:ascii="Times New Roman" w:hAnsi="Times New Roman" w:cs="Times New Roman"/>
                <w:bCs/>
                <w:color w:val="000000" w:themeColor="text1"/>
                <w:lang w:val="ro-MD"/>
              </w:rPr>
              <w:t xml:space="preserve"> prevăzute la </w:t>
            </w:r>
            <w:r w:rsidR="00C37DAD" w:rsidRPr="004D6136">
              <w:rPr>
                <w:rFonts w:ascii="Times New Roman" w:hAnsi="Times New Roman" w:cs="Times New Roman"/>
                <w:bCs/>
                <w:color w:val="000000" w:themeColor="text1"/>
                <w:lang w:val="ro-MD"/>
              </w:rPr>
              <w:t>subpct.</w:t>
            </w:r>
            <w:r w:rsidR="00670708" w:rsidRPr="004D6136">
              <w:rPr>
                <w:rFonts w:ascii="Times New Roman" w:hAnsi="Times New Roman" w:cs="Times New Roman"/>
                <w:bCs/>
                <w:color w:val="000000" w:themeColor="text1"/>
                <w:lang w:val="ro-MD"/>
              </w:rPr>
              <w:t>3</w:t>
            </w:r>
            <w:r w:rsidR="00EE726C" w:rsidRPr="004D6136">
              <w:rPr>
                <w:rFonts w:ascii="Times New Roman" w:hAnsi="Times New Roman" w:cs="Times New Roman"/>
                <w:bCs/>
                <w:color w:val="000000" w:themeColor="text1"/>
                <w:lang w:val="ro-MD"/>
              </w:rPr>
              <w:t>6</w:t>
            </w:r>
            <w:r w:rsidR="00C37DAD" w:rsidRPr="004D6136">
              <w:rPr>
                <w:rFonts w:ascii="Times New Roman" w:hAnsi="Times New Roman" w:cs="Times New Roman"/>
                <w:bCs/>
                <w:color w:val="000000" w:themeColor="text1"/>
                <w:lang w:val="ro-MD"/>
              </w:rPr>
              <w:t>.1-</w:t>
            </w:r>
            <w:r w:rsidR="00670708" w:rsidRPr="004D6136">
              <w:rPr>
                <w:rFonts w:ascii="Times New Roman" w:hAnsi="Times New Roman" w:cs="Times New Roman"/>
                <w:bCs/>
                <w:color w:val="000000" w:themeColor="text1"/>
                <w:lang w:val="ro-MD"/>
              </w:rPr>
              <w:t>3</w:t>
            </w:r>
            <w:r w:rsidR="00EE726C" w:rsidRPr="004D6136">
              <w:rPr>
                <w:rFonts w:ascii="Times New Roman" w:hAnsi="Times New Roman" w:cs="Times New Roman"/>
                <w:bCs/>
                <w:color w:val="000000" w:themeColor="text1"/>
                <w:lang w:val="ro-MD"/>
              </w:rPr>
              <w:t>6</w:t>
            </w:r>
            <w:r w:rsidR="00C37DAD" w:rsidRPr="004D6136">
              <w:rPr>
                <w:rFonts w:ascii="Times New Roman" w:hAnsi="Times New Roman" w:cs="Times New Roman"/>
                <w:bCs/>
                <w:color w:val="000000" w:themeColor="text1"/>
                <w:lang w:val="ro-MD"/>
              </w:rPr>
              <w:t>.5</w:t>
            </w:r>
            <w:r w:rsidR="00951D3F" w:rsidRPr="004D6136">
              <w:rPr>
                <w:rFonts w:ascii="Times New Roman" w:hAnsi="Times New Roman" w:cs="Times New Roman"/>
                <w:bCs/>
                <w:color w:val="000000" w:themeColor="text1"/>
                <w:lang w:val="ro-MD"/>
              </w:rPr>
              <w:t>;</w:t>
            </w:r>
          </w:p>
          <w:p w14:paraId="666644FF" w14:textId="38496B82" w:rsidR="00951D3F" w:rsidRPr="004D6136" w:rsidRDefault="00CD299B"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1</w:t>
            </w:r>
            <w:r w:rsidR="008B3310" w:rsidRPr="004D6136">
              <w:rPr>
                <w:rFonts w:ascii="Times New Roman" w:hAnsi="Times New Roman" w:cs="Times New Roman"/>
                <w:bCs/>
                <w:color w:val="000000" w:themeColor="text1"/>
                <w:lang w:val="ro-MD"/>
              </w:rPr>
              <w:t>9</w:t>
            </w:r>
            <w:r w:rsidRPr="004D6136">
              <w:rPr>
                <w:rFonts w:ascii="Times New Roman" w:hAnsi="Times New Roman" w:cs="Times New Roman"/>
                <w:bCs/>
                <w:color w:val="000000" w:themeColor="text1"/>
                <w:lang w:val="ro-MD"/>
              </w:rPr>
              <w:t>.</w:t>
            </w:r>
            <w:r w:rsidR="00B56114" w:rsidRPr="004D6136">
              <w:rPr>
                <w:rFonts w:ascii="Times New Roman" w:hAnsi="Times New Roman" w:cs="Times New Roman"/>
                <w:bCs/>
                <w:color w:val="000000" w:themeColor="text1"/>
                <w:lang w:val="ro-MD"/>
              </w:rPr>
              <w:t>10</w:t>
            </w:r>
            <w:r w:rsidR="007955FA" w:rsidRPr="004D6136">
              <w:rPr>
                <w:rFonts w:ascii="Times New Roman" w:hAnsi="Times New Roman" w:cs="Times New Roman"/>
                <w:bCs/>
                <w:color w:val="000000" w:themeColor="text1"/>
                <w:lang w:val="ro-MD"/>
              </w:rPr>
              <w:t>.</w:t>
            </w:r>
            <w:r w:rsidR="00951D3F" w:rsidRPr="004D6136">
              <w:rPr>
                <w:rFonts w:ascii="Times New Roman" w:hAnsi="Times New Roman" w:cs="Times New Roman"/>
                <w:bCs/>
                <w:color w:val="000000" w:themeColor="text1"/>
                <w:lang w:val="ro-MD"/>
              </w:rPr>
              <w:t xml:space="preserve"> următoarele expuneri </w:t>
            </w:r>
            <w:proofErr w:type="spellStart"/>
            <w:r w:rsidR="00951D3F" w:rsidRPr="004D6136">
              <w:rPr>
                <w:rFonts w:ascii="Times New Roman" w:hAnsi="Times New Roman" w:cs="Times New Roman"/>
                <w:bCs/>
                <w:color w:val="000000" w:themeColor="text1"/>
                <w:lang w:val="ro-MD"/>
              </w:rPr>
              <w:t>faţă</w:t>
            </w:r>
            <w:proofErr w:type="spellEnd"/>
            <w:r w:rsidR="00951D3F" w:rsidRPr="004D6136">
              <w:rPr>
                <w:rFonts w:ascii="Times New Roman" w:hAnsi="Times New Roman" w:cs="Times New Roman"/>
                <w:bCs/>
                <w:color w:val="000000" w:themeColor="text1"/>
                <w:lang w:val="ro-MD"/>
              </w:rPr>
              <w:t xml:space="preserve"> de banca centrală a </w:t>
            </w:r>
            <w:r w:rsidR="007955FA" w:rsidRPr="004D6136">
              <w:rPr>
                <w:rFonts w:ascii="Times New Roman" w:hAnsi="Times New Roman" w:cs="Times New Roman"/>
                <w:bCs/>
                <w:color w:val="000000" w:themeColor="text1"/>
                <w:lang w:val="ro-MD"/>
              </w:rPr>
              <w:t>băncii</w:t>
            </w:r>
            <w:r w:rsidR="00951D3F" w:rsidRPr="004D6136">
              <w:rPr>
                <w:rFonts w:ascii="Times New Roman" w:hAnsi="Times New Roman" w:cs="Times New Roman"/>
                <w:bCs/>
                <w:color w:val="000000" w:themeColor="text1"/>
                <w:lang w:val="ro-MD"/>
              </w:rPr>
              <w:t xml:space="preserve">, sub rezerva </w:t>
            </w:r>
            <w:proofErr w:type="spellStart"/>
            <w:r w:rsidR="00951D3F" w:rsidRPr="004D6136">
              <w:rPr>
                <w:rFonts w:ascii="Times New Roman" w:hAnsi="Times New Roman" w:cs="Times New Roman"/>
                <w:bCs/>
                <w:color w:val="000000" w:themeColor="text1"/>
                <w:lang w:val="ro-MD"/>
              </w:rPr>
              <w:t>condiţiilor</w:t>
            </w:r>
            <w:proofErr w:type="spellEnd"/>
            <w:r w:rsidR="00951D3F" w:rsidRPr="004D6136">
              <w:rPr>
                <w:rFonts w:ascii="Times New Roman" w:hAnsi="Times New Roman" w:cs="Times New Roman"/>
                <w:bCs/>
                <w:color w:val="000000" w:themeColor="text1"/>
                <w:lang w:val="ro-MD"/>
              </w:rPr>
              <w:t xml:space="preserve"> stabilite la</w:t>
            </w:r>
            <w:r w:rsidR="00C37DAD" w:rsidRPr="004D6136">
              <w:rPr>
                <w:rFonts w:ascii="Times New Roman" w:hAnsi="Times New Roman" w:cs="Times New Roman"/>
                <w:bCs/>
                <w:color w:val="000000" w:themeColor="text1"/>
                <w:lang w:val="ro-MD"/>
              </w:rPr>
              <w:t xml:space="preserve"> pct.</w:t>
            </w:r>
            <w:r w:rsidR="00EE726C" w:rsidRPr="004D6136">
              <w:rPr>
                <w:rFonts w:ascii="Times New Roman" w:hAnsi="Times New Roman" w:cs="Times New Roman"/>
                <w:bCs/>
                <w:color w:val="000000" w:themeColor="text1"/>
                <w:lang w:val="ro-MD"/>
              </w:rPr>
              <w:t>21</w:t>
            </w:r>
            <w:r w:rsidR="00C37DAD" w:rsidRPr="004D6136">
              <w:rPr>
                <w:rFonts w:ascii="Times New Roman" w:hAnsi="Times New Roman" w:cs="Times New Roman"/>
                <w:bCs/>
                <w:color w:val="000000" w:themeColor="text1"/>
                <w:lang w:val="ro-MD"/>
              </w:rPr>
              <w:t xml:space="preserve"> și 2</w:t>
            </w:r>
            <w:r w:rsidR="00EE726C" w:rsidRPr="004D6136">
              <w:rPr>
                <w:rFonts w:ascii="Times New Roman" w:hAnsi="Times New Roman" w:cs="Times New Roman"/>
                <w:bCs/>
                <w:color w:val="000000" w:themeColor="text1"/>
                <w:lang w:val="ro-MD"/>
              </w:rPr>
              <w:t>2</w:t>
            </w:r>
            <w:r w:rsidR="00951D3F" w:rsidRPr="004D6136">
              <w:rPr>
                <w:rFonts w:ascii="Times New Roman" w:hAnsi="Times New Roman" w:cs="Times New Roman"/>
                <w:bCs/>
                <w:color w:val="000000" w:themeColor="text1"/>
                <w:lang w:val="ro-MD"/>
              </w:rPr>
              <w:t>:</w:t>
            </w:r>
          </w:p>
          <w:p w14:paraId="36A4AA4D" w14:textId="7E71D1F0" w:rsidR="00951D3F" w:rsidRPr="004D6136" w:rsidRDefault="00CD299B"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1</w:t>
            </w:r>
            <w:r w:rsidR="006B3E23" w:rsidRPr="004D6136">
              <w:rPr>
                <w:rFonts w:ascii="Times New Roman" w:hAnsi="Times New Roman" w:cs="Times New Roman"/>
                <w:bCs/>
                <w:color w:val="000000" w:themeColor="text1"/>
                <w:lang w:val="ro-MD"/>
              </w:rPr>
              <w:t>9</w:t>
            </w:r>
            <w:r w:rsidRPr="004D6136">
              <w:rPr>
                <w:rFonts w:ascii="Times New Roman" w:hAnsi="Times New Roman" w:cs="Times New Roman"/>
                <w:bCs/>
                <w:color w:val="000000" w:themeColor="text1"/>
                <w:lang w:val="ro-MD"/>
              </w:rPr>
              <w:t>.</w:t>
            </w:r>
            <w:r w:rsidR="00B56114" w:rsidRPr="004D6136">
              <w:rPr>
                <w:rFonts w:ascii="Times New Roman" w:hAnsi="Times New Roman" w:cs="Times New Roman"/>
                <w:bCs/>
                <w:color w:val="000000" w:themeColor="text1"/>
                <w:lang w:val="ro-MD"/>
              </w:rPr>
              <w:t>10</w:t>
            </w:r>
            <w:r w:rsidRPr="004D6136">
              <w:rPr>
                <w:rFonts w:ascii="Times New Roman" w:hAnsi="Times New Roman" w:cs="Times New Roman"/>
                <w:bCs/>
                <w:color w:val="000000" w:themeColor="text1"/>
                <w:lang w:val="ro-MD"/>
              </w:rPr>
              <w:t>.1</w:t>
            </w:r>
            <w:r w:rsidR="007955FA" w:rsidRPr="004D6136">
              <w:rPr>
                <w:rFonts w:ascii="Times New Roman" w:hAnsi="Times New Roman" w:cs="Times New Roman"/>
                <w:bCs/>
                <w:color w:val="000000" w:themeColor="text1"/>
                <w:lang w:val="ro-MD"/>
              </w:rPr>
              <w:t>.</w:t>
            </w:r>
            <w:r w:rsidR="00951D3F" w:rsidRPr="004D6136">
              <w:rPr>
                <w:rFonts w:ascii="Times New Roman" w:hAnsi="Times New Roman" w:cs="Times New Roman"/>
                <w:bCs/>
                <w:color w:val="000000" w:themeColor="text1"/>
                <w:lang w:val="ro-MD"/>
              </w:rPr>
              <w:t xml:space="preserve"> </w:t>
            </w:r>
            <w:r w:rsidR="007955FA" w:rsidRPr="004D6136">
              <w:rPr>
                <w:rFonts w:ascii="Times New Roman" w:hAnsi="Times New Roman" w:cs="Times New Roman"/>
                <w:bCs/>
                <w:color w:val="000000" w:themeColor="text1"/>
                <w:lang w:val="ro-MD"/>
              </w:rPr>
              <w:t xml:space="preserve">monede și bancnote în lei moldovenești, precum și </w:t>
            </w:r>
            <w:r w:rsidR="00951D3F" w:rsidRPr="004D6136">
              <w:rPr>
                <w:rFonts w:ascii="Times New Roman" w:hAnsi="Times New Roman" w:cs="Times New Roman"/>
                <w:bCs/>
                <w:color w:val="000000" w:themeColor="text1"/>
                <w:lang w:val="ro-MD"/>
              </w:rPr>
              <w:t xml:space="preserve">monede și bancnote care constituie moneda legală în </w:t>
            </w:r>
            <w:proofErr w:type="spellStart"/>
            <w:r w:rsidR="00951D3F" w:rsidRPr="004D6136">
              <w:rPr>
                <w:rFonts w:ascii="Times New Roman" w:hAnsi="Times New Roman" w:cs="Times New Roman"/>
                <w:bCs/>
                <w:color w:val="000000" w:themeColor="text1"/>
                <w:lang w:val="ro-MD"/>
              </w:rPr>
              <w:t>jurisdicţia</w:t>
            </w:r>
            <w:proofErr w:type="spellEnd"/>
            <w:r w:rsidR="00951D3F" w:rsidRPr="004D6136">
              <w:rPr>
                <w:rFonts w:ascii="Times New Roman" w:hAnsi="Times New Roman" w:cs="Times New Roman"/>
                <w:bCs/>
                <w:color w:val="000000" w:themeColor="text1"/>
                <w:lang w:val="ro-MD"/>
              </w:rPr>
              <w:t xml:space="preserve"> băncii centrale</w:t>
            </w:r>
            <w:r w:rsidR="007955FA" w:rsidRPr="004D6136">
              <w:rPr>
                <w:rFonts w:ascii="Times New Roman" w:hAnsi="Times New Roman" w:cs="Times New Roman"/>
                <w:bCs/>
                <w:color w:val="000000" w:themeColor="text1"/>
                <w:lang w:val="ro-MD"/>
              </w:rPr>
              <w:t xml:space="preserve"> a altui stat</w:t>
            </w:r>
            <w:r w:rsidR="00951D3F" w:rsidRPr="004D6136">
              <w:rPr>
                <w:rFonts w:ascii="Times New Roman" w:hAnsi="Times New Roman" w:cs="Times New Roman"/>
                <w:bCs/>
                <w:color w:val="000000" w:themeColor="text1"/>
                <w:lang w:val="ro-MD"/>
              </w:rPr>
              <w:t>;</w:t>
            </w:r>
          </w:p>
          <w:p w14:paraId="66260CA2" w14:textId="6F8FDBD8" w:rsidR="00951D3F" w:rsidRPr="004D6136" w:rsidRDefault="00CD299B"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1</w:t>
            </w:r>
            <w:r w:rsidR="006B3E23" w:rsidRPr="004D6136">
              <w:rPr>
                <w:rFonts w:ascii="Times New Roman" w:hAnsi="Times New Roman" w:cs="Times New Roman"/>
                <w:bCs/>
                <w:color w:val="000000" w:themeColor="text1"/>
                <w:lang w:val="ro-MD"/>
              </w:rPr>
              <w:t>9</w:t>
            </w:r>
            <w:r w:rsidRPr="004D6136">
              <w:rPr>
                <w:rFonts w:ascii="Times New Roman" w:hAnsi="Times New Roman" w:cs="Times New Roman"/>
                <w:bCs/>
                <w:color w:val="000000" w:themeColor="text1"/>
                <w:lang w:val="ro-MD"/>
              </w:rPr>
              <w:t>.</w:t>
            </w:r>
            <w:r w:rsidR="00B56114" w:rsidRPr="004D6136">
              <w:rPr>
                <w:rFonts w:ascii="Times New Roman" w:hAnsi="Times New Roman" w:cs="Times New Roman"/>
                <w:bCs/>
                <w:color w:val="000000" w:themeColor="text1"/>
                <w:lang w:val="ro-MD"/>
              </w:rPr>
              <w:t>10</w:t>
            </w:r>
            <w:r w:rsidRPr="004D6136">
              <w:rPr>
                <w:rFonts w:ascii="Times New Roman" w:hAnsi="Times New Roman" w:cs="Times New Roman"/>
                <w:bCs/>
                <w:color w:val="000000" w:themeColor="text1"/>
                <w:lang w:val="ro-MD"/>
              </w:rPr>
              <w:t>.2</w:t>
            </w:r>
            <w:r w:rsidR="007955FA" w:rsidRPr="004D6136">
              <w:rPr>
                <w:rFonts w:ascii="Times New Roman" w:hAnsi="Times New Roman" w:cs="Times New Roman"/>
                <w:bCs/>
                <w:color w:val="000000" w:themeColor="text1"/>
                <w:lang w:val="ro-MD"/>
              </w:rPr>
              <w:t>.</w:t>
            </w:r>
            <w:r w:rsidR="00951D3F" w:rsidRPr="004D6136">
              <w:rPr>
                <w:rFonts w:ascii="Times New Roman" w:hAnsi="Times New Roman" w:cs="Times New Roman"/>
                <w:bCs/>
                <w:color w:val="000000" w:themeColor="text1"/>
                <w:lang w:val="ro-MD"/>
              </w:rPr>
              <w:t xml:space="preserve"> active care reprezintă </w:t>
            </w:r>
            <w:proofErr w:type="spellStart"/>
            <w:r w:rsidR="00951D3F" w:rsidRPr="004D6136">
              <w:rPr>
                <w:rFonts w:ascii="Times New Roman" w:hAnsi="Times New Roman" w:cs="Times New Roman"/>
                <w:bCs/>
                <w:color w:val="000000" w:themeColor="text1"/>
                <w:lang w:val="ro-MD"/>
              </w:rPr>
              <w:t>creanţe</w:t>
            </w:r>
            <w:proofErr w:type="spellEnd"/>
            <w:r w:rsidR="00951D3F" w:rsidRPr="004D6136">
              <w:rPr>
                <w:rFonts w:ascii="Times New Roman" w:hAnsi="Times New Roman" w:cs="Times New Roman"/>
                <w:bCs/>
                <w:color w:val="000000" w:themeColor="text1"/>
                <w:lang w:val="ro-MD"/>
              </w:rPr>
              <w:t xml:space="preserve"> </w:t>
            </w:r>
            <w:proofErr w:type="spellStart"/>
            <w:r w:rsidR="00951D3F" w:rsidRPr="004D6136">
              <w:rPr>
                <w:rFonts w:ascii="Times New Roman" w:hAnsi="Times New Roman" w:cs="Times New Roman"/>
                <w:bCs/>
                <w:color w:val="000000" w:themeColor="text1"/>
                <w:lang w:val="ro-MD"/>
              </w:rPr>
              <w:t>faţă</w:t>
            </w:r>
            <w:proofErr w:type="spellEnd"/>
            <w:r w:rsidR="00951D3F" w:rsidRPr="004D6136">
              <w:rPr>
                <w:rFonts w:ascii="Times New Roman" w:hAnsi="Times New Roman" w:cs="Times New Roman"/>
                <w:bCs/>
                <w:color w:val="000000" w:themeColor="text1"/>
                <w:lang w:val="ro-MD"/>
              </w:rPr>
              <w:t xml:space="preserve"> de </w:t>
            </w:r>
            <w:r w:rsidR="007955FA" w:rsidRPr="004D6136">
              <w:rPr>
                <w:rFonts w:ascii="Times New Roman" w:hAnsi="Times New Roman" w:cs="Times New Roman"/>
                <w:bCs/>
                <w:color w:val="000000" w:themeColor="text1"/>
                <w:lang w:val="ro-MD"/>
              </w:rPr>
              <w:t xml:space="preserve">BNM, precum și față de </w:t>
            </w:r>
            <w:r w:rsidR="00951D3F" w:rsidRPr="004D6136">
              <w:rPr>
                <w:rFonts w:ascii="Times New Roman" w:hAnsi="Times New Roman" w:cs="Times New Roman"/>
                <w:bCs/>
                <w:color w:val="000000" w:themeColor="text1"/>
                <w:lang w:val="ro-MD"/>
              </w:rPr>
              <w:t>banca centrală</w:t>
            </w:r>
            <w:r w:rsidR="007955FA" w:rsidRPr="004D6136">
              <w:rPr>
                <w:rFonts w:ascii="Times New Roman" w:hAnsi="Times New Roman" w:cs="Times New Roman"/>
                <w:bCs/>
                <w:color w:val="000000" w:themeColor="text1"/>
                <w:lang w:val="ro-MD"/>
              </w:rPr>
              <w:t xml:space="preserve"> a altui stat</w:t>
            </w:r>
            <w:r w:rsidR="00951D3F" w:rsidRPr="004D6136">
              <w:rPr>
                <w:rFonts w:ascii="Times New Roman" w:hAnsi="Times New Roman" w:cs="Times New Roman"/>
                <w:bCs/>
                <w:color w:val="000000" w:themeColor="text1"/>
                <w:lang w:val="ro-MD"/>
              </w:rPr>
              <w:t xml:space="preserve">, inclusiv rezerve </w:t>
            </w:r>
            <w:proofErr w:type="spellStart"/>
            <w:r w:rsidR="00951D3F" w:rsidRPr="004D6136">
              <w:rPr>
                <w:rFonts w:ascii="Times New Roman" w:hAnsi="Times New Roman" w:cs="Times New Roman"/>
                <w:bCs/>
                <w:color w:val="000000" w:themeColor="text1"/>
                <w:lang w:val="ro-MD"/>
              </w:rPr>
              <w:t>deţinute</w:t>
            </w:r>
            <w:proofErr w:type="spellEnd"/>
            <w:r w:rsidR="00951D3F" w:rsidRPr="004D6136">
              <w:rPr>
                <w:rFonts w:ascii="Times New Roman" w:hAnsi="Times New Roman" w:cs="Times New Roman"/>
                <w:bCs/>
                <w:color w:val="000000" w:themeColor="text1"/>
                <w:lang w:val="ro-MD"/>
              </w:rPr>
              <w:t xml:space="preserve"> la</w:t>
            </w:r>
            <w:r w:rsidR="007955FA" w:rsidRPr="004D6136">
              <w:rPr>
                <w:rFonts w:ascii="Times New Roman" w:hAnsi="Times New Roman" w:cs="Times New Roman"/>
                <w:bCs/>
                <w:color w:val="000000" w:themeColor="text1"/>
                <w:lang w:val="ro-MD"/>
              </w:rPr>
              <w:t xml:space="preserve"> BNM, precum și</w:t>
            </w:r>
            <w:r w:rsidR="00951D3F" w:rsidRPr="004D6136">
              <w:rPr>
                <w:rFonts w:ascii="Times New Roman" w:hAnsi="Times New Roman" w:cs="Times New Roman"/>
                <w:bCs/>
                <w:color w:val="000000" w:themeColor="text1"/>
                <w:lang w:val="ro-MD"/>
              </w:rPr>
              <w:t xml:space="preserve"> banca centrală</w:t>
            </w:r>
            <w:r w:rsidR="007955FA" w:rsidRPr="004D6136">
              <w:rPr>
                <w:rFonts w:ascii="Times New Roman" w:hAnsi="Times New Roman" w:cs="Times New Roman"/>
                <w:bCs/>
                <w:color w:val="000000" w:themeColor="text1"/>
                <w:lang w:val="ro-MD"/>
              </w:rPr>
              <w:t xml:space="preserve"> a altui stat</w:t>
            </w:r>
            <w:r w:rsidR="00951D3F" w:rsidRPr="004D6136">
              <w:rPr>
                <w:rFonts w:ascii="Times New Roman" w:hAnsi="Times New Roman" w:cs="Times New Roman"/>
                <w:bCs/>
                <w:color w:val="000000" w:themeColor="text1"/>
                <w:lang w:val="ro-MD"/>
              </w:rPr>
              <w:t>;</w:t>
            </w:r>
          </w:p>
          <w:p w14:paraId="2168549E" w14:textId="6D1C7E75" w:rsidR="00951D3F" w:rsidRPr="004D6136" w:rsidRDefault="00951D3F" w:rsidP="00951D3F">
            <w:pPr>
              <w:spacing w:after="0" w:line="276" w:lineRule="auto"/>
              <w:jc w:val="both"/>
              <w:rPr>
                <w:rFonts w:ascii="Times New Roman" w:hAnsi="Times New Roman" w:cs="Times New Roman"/>
                <w:bCs/>
                <w:color w:val="000000" w:themeColor="text1"/>
                <w:lang w:val="ro-MD"/>
              </w:rPr>
            </w:pPr>
          </w:p>
        </w:tc>
        <w:tc>
          <w:tcPr>
            <w:tcW w:w="585" w:type="pct"/>
          </w:tcPr>
          <w:p w14:paraId="3A82F00A" w14:textId="23561B41" w:rsidR="00951D3F" w:rsidRPr="004D6136" w:rsidRDefault="00C411D1" w:rsidP="00951D3F">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Parțial compatibil</w:t>
            </w:r>
          </w:p>
        </w:tc>
        <w:tc>
          <w:tcPr>
            <w:tcW w:w="1261" w:type="pct"/>
          </w:tcPr>
          <w:p w14:paraId="3E813A80" w14:textId="3584E0A0" w:rsidR="00951D3F" w:rsidRPr="004D6136" w:rsidRDefault="00C411D1" w:rsidP="00951D3F">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Lit.(a) din alin.(1) art.429a nu a fost transpusă – se referă la </w:t>
            </w:r>
            <w:proofErr w:type="spellStart"/>
            <w:r w:rsidRPr="004D6136">
              <w:rPr>
                <w:rFonts w:ascii="Times New Roman" w:hAnsi="Times New Roman" w:cs="Times New Roman"/>
                <w:bCs/>
                <w:color w:val="000000" w:themeColor="text1"/>
                <w:lang w:val="ro-MD"/>
              </w:rPr>
              <w:t>instituţiile</w:t>
            </w:r>
            <w:proofErr w:type="spellEnd"/>
            <w:r w:rsidRPr="004D6136">
              <w:rPr>
                <w:rFonts w:ascii="Times New Roman" w:hAnsi="Times New Roman" w:cs="Times New Roman"/>
                <w:bCs/>
                <w:color w:val="000000" w:themeColor="text1"/>
                <w:lang w:val="ro-MD"/>
              </w:rPr>
              <w:t xml:space="preserve"> care calculează cuantumurile ponderate la risc ale expunerilor utilizând abordarea bazată pe modele interne de rating (abordarea </w:t>
            </w:r>
            <w:r w:rsidRPr="004D6136">
              <w:rPr>
                <w:rFonts w:ascii="Times New Roman" w:hAnsi="Times New Roman" w:cs="Times New Roman"/>
                <w:bCs/>
                <w:color w:val="000000" w:themeColor="text1"/>
                <w:lang w:val="ro-MD"/>
              </w:rPr>
              <w:lastRenderedPageBreak/>
              <w:t>IRB)</w:t>
            </w:r>
            <w:r w:rsidR="00280100" w:rsidRPr="004D6136">
              <w:rPr>
                <w:rFonts w:ascii="Times New Roman" w:hAnsi="Times New Roman" w:cs="Times New Roman"/>
                <w:bCs/>
                <w:color w:val="000000" w:themeColor="text1"/>
                <w:lang w:val="ro-MD"/>
              </w:rPr>
              <w:t>, abordare care încă nu a fost transpusă în reglementările prudențiale;</w:t>
            </w:r>
          </w:p>
          <w:p w14:paraId="72B5B0C1" w14:textId="34A320FB" w:rsidR="00EE377D" w:rsidRPr="004D6136" w:rsidRDefault="00EE377D" w:rsidP="00951D3F">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Lit.(ca) nu a fost transpusă – se referă la sistemul instituțional de protecție, sistem care încă nu este reglementat în </w:t>
            </w:r>
            <w:r w:rsidR="00621D80" w:rsidRPr="004D6136">
              <w:rPr>
                <w:rFonts w:ascii="Times New Roman" w:hAnsi="Times New Roman" w:cs="Times New Roman"/>
                <w:bCs/>
                <w:color w:val="000000" w:themeColor="text1"/>
                <w:lang w:val="ro-MD"/>
              </w:rPr>
              <w:t xml:space="preserve">legislația </w:t>
            </w:r>
            <w:r w:rsidRPr="004D6136">
              <w:rPr>
                <w:rFonts w:ascii="Times New Roman" w:hAnsi="Times New Roman" w:cs="Times New Roman"/>
                <w:bCs/>
                <w:color w:val="000000" w:themeColor="text1"/>
                <w:lang w:val="ro-MD"/>
              </w:rPr>
              <w:t>Republic</w:t>
            </w:r>
            <w:r w:rsidR="00621D80" w:rsidRPr="004D6136">
              <w:rPr>
                <w:rFonts w:ascii="Times New Roman" w:hAnsi="Times New Roman" w:cs="Times New Roman"/>
                <w:bCs/>
                <w:color w:val="000000" w:themeColor="text1"/>
                <w:lang w:val="ro-MD"/>
              </w:rPr>
              <w:t>ii</w:t>
            </w:r>
            <w:r w:rsidRPr="004D6136">
              <w:rPr>
                <w:rFonts w:ascii="Times New Roman" w:hAnsi="Times New Roman" w:cs="Times New Roman"/>
                <w:bCs/>
                <w:color w:val="000000" w:themeColor="text1"/>
                <w:lang w:val="ro-MD"/>
              </w:rPr>
              <w:t xml:space="preserve"> Moldova.</w:t>
            </w:r>
          </w:p>
          <w:p w14:paraId="00300B08" w14:textId="2C67FB20" w:rsidR="00621D80" w:rsidRPr="004D6136" w:rsidRDefault="00621D80" w:rsidP="00951D3F">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Lit.(d) nu a fost transpusă – se referă la </w:t>
            </w:r>
            <w:r w:rsidR="003F489C" w:rsidRPr="004D6136">
              <w:rPr>
                <w:rFonts w:ascii="Times New Roman" w:hAnsi="Times New Roman" w:cs="Times New Roman"/>
                <w:bCs/>
                <w:color w:val="000000" w:themeColor="text1"/>
                <w:lang w:val="ro-MD"/>
              </w:rPr>
              <w:t>instituții de credit</w:t>
            </w:r>
            <w:r w:rsidRPr="004D6136">
              <w:rPr>
                <w:rFonts w:ascii="Times New Roman" w:hAnsi="Times New Roman" w:cs="Times New Roman"/>
                <w:bCs/>
                <w:color w:val="000000" w:themeColor="text1"/>
                <w:lang w:val="ro-MD"/>
              </w:rPr>
              <w:t xml:space="preserve"> pentru dezvoltare publică și credite promoționale, prevederi care încă nu sunt reglementate în legislația Republicii Moldova</w:t>
            </w:r>
            <w:r w:rsidR="00230FBD" w:rsidRPr="004D6136">
              <w:rPr>
                <w:rFonts w:ascii="Times New Roman" w:hAnsi="Times New Roman" w:cs="Times New Roman"/>
                <w:bCs/>
                <w:color w:val="000000" w:themeColor="text1"/>
                <w:lang w:val="ro-MD"/>
              </w:rPr>
              <w:t>.</w:t>
            </w:r>
          </w:p>
          <w:p w14:paraId="10CD6063" w14:textId="77777777" w:rsidR="00230FBD" w:rsidRPr="004D6136" w:rsidRDefault="00230FBD" w:rsidP="00951D3F">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Lit.(da) nu a fost transpusă – se referă la obligațiuni garantate, care încă nu sunt reglementate în legislația Republicii Moldova.</w:t>
            </w:r>
          </w:p>
          <w:p w14:paraId="3ABBCFF1" w14:textId="77777777" w:rsidR="00280100" w:rsidRPr="004D6136" w:rsidRDefault="00280100" w:rsidP="00951D3F">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Lit.(m) nu a fost transpusă – se referă la securitizări, care încă nu sunt reglementate în legislația Republicii Moldova.</w:t>
            </w:r>
          </w:p>
          <w:p w14:paraId="28CF3968" w14:textId="623B9DA2" w:rsidR="00633127" w:rsidRPr="004D6136" w:rsidRDefault="00633127" w:rsidP="00951D3F">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Lit.(o) și (p) nu au fost transpuse deoarece prevederile articolului 16  și articolului 54 din Regulamentul (UE) nr. 909/2014 privind îmbunătățirea decontării titlurilor de valoare în Uniunea Europeană și privind </w:t>
            </w:r>
            <w:r w:rsidRPr="004D6136">
              <w:rPr>
                <w:rFonts w:ascii="Times New Roman" w:hAnsi="Times New Roman" w:cs="Times New Roman"/>
                <w:bCs/>
                <w:color w:val="000000" w:themeColor="text1"/>
                <w:lang w:val="ro-MD"/>
              </w:rPr>
              <w:lastRenderedPageBreak/>
              <w:t>depozitarii centrali de titluri de valoare și de modificare a Directivelor 98/26/CE și 2014/65/UE și a Regulamentului (UE) nr. 236/2012 nu au fost transpuse în Legea nr.234/2016</w:t>
            </w:r>
            <w:r w:rsidRPr="004D6136">
              <w:rPr>
                <w:lang w:val="ro-MD"/>
              </w:rPr>
              <w:t xml:space="preserve"> </w:t>
            </w:r>
            <w:r w:rsidRPr="004D6136">
              <w:rPr>
                <w:rFonts w:ascii="Times New Roman" w:hAnsi="Times New Roman" w:cs="Times New Roman"/>
                <w:bCs/>
                <w:color w:val="000000" w:themeColor="text1"/>
                <w:lang w:val="ro-MD"/>
              </w:rPr>
              <w:t xml:space="preserve">cu privire la Depozitarul central unic al valorilor mobiliare.  Depozitarul Central Unic nu desfășoară activități bancare și nu este autorizat să desfășoare activități bancare. </w:t>
            </w:r>
            <w:r w:rsidR="004C6284" w:rsidRPr="004D6136">
              <w:rPr>
                <w:rFonts w:ascii="Times New Roman" w:hAnsi="Times New Roman" w:cs="Times New Roman"/>
                <w:bCs/>
                <w:color w:val="000000" w:themeColor="text1"/>
                <w:lang w:val="ro-MD"/>
              </w:rPr>
              <w:t>DCU nu are obligația de a respecta reglementările aplicabile băncilor, inclusiv cele aferente efectului de levier.</w:t>
            </w:r>
          </w:p>
          <w:p w14:paraId="73C8ECE7" w14:textId="77777777" w:rsidR="003F489C" w:rsidRPr="004D6136" w:rsidRDefault="003F489C" w:rsidP="003F489C">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Lit.(q) nu a fost transpusă deoarece prevederile articolului 72e Deduceri din elementele de pasive eligibile nu au fost încă transpuse în Regulamentul nr.109/2018.</w:t>
            </w:r>
          </w:p>
          <w:p w14:paraId="4C3F83C7" w14:textId="593FEA1E" w:rsidR="003F489C" w:rsidRPr="004D6136" w:rsidRDefault="003F489C" w:rsidP="003F489C">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Prevederile paragrafului doi nu a fost transpuse deoarece se referă la securitizări, iar acestea încă nu sunt reglementate în legislația Republicii Moldova.</w:t>
            </w:r>
          </w:p>
        </w:tc>
      </w:tr>
      <w:tr w:rsidR="00951D3F" w:rsidRPr="004D6136" w14:paraId="51CF8D53" w14:textId="77777777" w:rsidTr="000F0E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226D92A7" w14:textId="77777777"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(2) În sensul alineatului (1) literele (d) și (e), „</w:t>
            </w:r>
            <w:proofErr w:type="spellStart"/>
            <w:r w:rsidRPr="004D6136">
              <w:rPr>
                <w:rFonts w:ascii="Times New Roman" w:hAnsi="Times New Roman" w:cs="Times New Roman"/>
                <w:bCs/>
                <w:color w:val="000000" w:themeColor="text1"/>
                <w:lang w:val="ro-MD"/>
              </w:rPr>
              <w:t>instituţie</w:t>
            </w:r>
            <w:proofErr w:type="spellEnd"/>
            <w:r w:rsidRPr="004D6136">
              <w:rPr>
                <w:rFonts w:ascii="Times New Roman" w:hAnsi="Times New Roman" w:cs="Times New Roman"/>
                <w:bCs/>
                <w:color w:val="000000" w:themeColor="text1"/>
                <w:lang w:val="ro-MD"/>
              </w:rPr>
              <w:t xml:space="preserve"> de credit pentru dezvoltare publică” înseamnă o </w:t>
            </w:r>
            <w:proofErr w:type="spellStart"/>
            <w:r w:rsidRPr="004D6136">
              <w:rPr>
                <w:rFonts w:ascii="Times New Roman" w:hAnsi="Times New Roman" w:cs="Times New Roman"/>
                <w:bCs/>
                <w:color w:val="000000" w:themeColor="text1"/>
                <w:lang w:val="ro-MD"/>
              </w:rPr>
              <w:lastRenderedPageBreak/>
              <w:t>instituţie</w:t>
            </w:r>
            <w:proofErr w:type="spellEnd"/>
            <w:r w:rsidRPr="004D6136">
              <w:rPr>
                <w:rFonts w:ascii="Times New Roman" w:hAnsi="Times New Roman" w:cs="Times New Roman"/>
                <w:bCs/>
                <w:color w:val="000000" w:themeColor="text1"/>
                <w:lang w:val="ro-MD"/>
              </w:rPr>
              <w:t xml:space="preserve"> de credit care îndeplinește cumulativ următoarele </w:t>
            </w:r>
            <w:proofErr w:type="spellStart"/>
            <w:r w:rsidRPr="004D6136">
              <w:rPr>
                <w:rFonts w:ascii="Times New Roman" w:hAnsi="Times New Roman" w:cs="Times New Roman"/>
                <w:bCs/>
                <w:color w:val="000000" w:themeColor="text1"/>
                <w:lang w:val="ro-MD"/>
              </w:rPr>
              <w:t>condiţii</w:t>
            </w:r>
            <w:proofErr w:type="spellEnd"/>
            <w:r w:rsidRPr="004D6136">
              <w:rPr>
                <w:rFonts w:ascii="Times New Roman" w:hAnsi="Times New Roman" w:cs="Times New Roman"/>
                <w:bCs/>
                <w:color w:val="000000" w:themeColor="text1"/>
                <w:lang w:val="ro-MD"/>
              </w:rPr>
              <w:t>:</w:t>
            </w:r>
          </w:p>
          <w:p w14:paraId="609FE0EA" w14:textId="77777777"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(a) a fost </w:t>
            </w:r>
            <w:proofErr w:type="spellStart"/>
            <w:r w:rsidRPr="004D6136">
              <w:rPr>
                <w:rFonts w:ascii="Times New Roman" w:hAnsi="Times New Roman" w:cs="Times New Roman"/>
                <w:bCs/>
                <w:color w:val="000000" w:themeColor="text1"/>
                <w:lang w:val="ro-MD"/>
              </w:rPr>
              <w:t>înfiinţată</w:t>
            </w:r>
            <w:proofErr w:type="spellEnd"/>
            <w:r w:rsidRPr="004D6136">
              <w:rPr>
                <w:rFonts w:ascii="Times New Roman" w:hAnsi="Times New Roman" w:cs="Times New Roman"/>
                <w:bCs/>
                <w:color w:val="000000" w:themeColor="text1"/>
                <w:lang w:val="ro-MD"/>
              </w:rPr>
              <w:t xml:space="preserve"> de o </w:t>
            </w:r>
            <w:proofErr w:type="spellStart"/>
            <w:r w:rsidRPr="004D6136">
              <w:rPr>
                <w:rFonts w:ascii="Times New Roman" w:hAnsi="Times New Roman" w:cs="Times New Roman"/>
                <w:bCs/>
                <w:color w:val="000000" w:themeColor="text1"/>
                <w:lang w:val="ro-MD"/>
              </w:rPr>
              <w:t>administraţie</w:t>
            </w:r>
            <w:proofErr w:type="spellEnd"/>
            <w:r w:rsidRPr="004D6136">
              <w:rPr>
                <w:rFonts w:ascii="Times New Roman" w:hAnsi="Times New Roman" w:cs="Times New Roman"/>
                <w:bCs/>
                <w:color w:val="000000" w:themeColor="text1"/>
                <w:lang w:val="ro-MD"/>
              </w:rPr>
              <w:t xml:space="preserve"> centrală, </w:t>
            </w:r>
            <w:proofErr w:type="spellStart"/>
            <w:r w:rsidRPr="004D6136">
              <w:rPr>
                <w:rFonts w:ascii="Times New Roman" w:hAnsi="Times New Roman" w:cs="Times New Roman"/>
                <w:bCs/>
                <w:color w:val="000000" w:themeColor="text1"/>
                <w:lang w:val="ro-MD"/>
              </w:rPr>
              <w:t>administraţie</w:t>
            </w:r>
            <w:proofErr w:type="spellEnd"/>
            <w:r w:rsidRPr="004D6136">
              <w:rPr>
                <w:rFonts w:ascii="Times New Roman" w:hAnsi="Times New Roman" w:cs="Times New Roman"/>
                <w:bCs/>
                <w:color w:val="000000" w:themeColor="text1"/>
                <w:lang w:val="ro-MD"/>
              </w:rPr>
              <w:t xml:space="preserve"> regională sau autoritate locală dintr-un stat membru;</w:t>
            </w:r>
          </w:p>
          <w:p w14:paraId="70845F73" w14:textId="77777777"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(b) activitatea sa este limitată la promovarea unor obiective specificate de politică publică financiară, socială sau economică, în conformitate cu actele cu putere de lege și </w:t>
            </w:r>
            <w:proofErr w:type="spellStart"/>
            <w:r w:rsidRPr="004D6136">
              <w:rPr>
                <w:rFonts w:ascii="Times New Roman" w:hAnsi="Times New Roman" w:cs="Times New Roman"/>
                <w:bCs/>
                <w:color w:val="000000" w:themeColor="text1"/>
                <w:lang w:val="ro-MD"/>
              </w:rPr>
              <w:t>dispoziţiile</w:t>
            </w:r>
            <w:proofErr w:type="spellEnd"/>
            <w:r w:rsidRPr="004D6136">
              <w:rPr>
                <w:rFonts w:ascii="Times New Roman" w:hAnsi="Times New Roman" w:cs="Times New Roman"/>
                <w:bCs/>
                <w:color w:val="000000" w:themeColor="text1"/>
                <w:lang w:val="ro-MD"/>
              </w:rPr>
              <w:t xml:space="preserve"> care reglementează respectiva </w:t>
            </w:r>
            <w:proofErr w:type="spellStart"/>
            <w:r w:rsidRPr="004D6136">
              <w:rPr>
                <w:rFonts w:ascii="Times New Roman" w:hAnsi="Times New Roman" w:cs="Times New Roman"/>
                <w:bCs/>
                <w:color w:val="000000" w:themeColor="text1"/>
                <w:lang w:val="ro-MD"/>
              </w:rPr>
              <w:t>instituţie</w:t>
            </w:r>
            <w:proofErr w:type="spellEnd"/>
            <w:r w:rsidRPr="004D6136">
              <w:rPr>
                <w:rFonts w:ascii="Times New Roman" w:hAnsi="Times New Roman" w:cs="Times New Roman"/>
                <w:bCs/>
                <w:color w:val="000000" w:themeColor="text1"/>
                <w:lang w:val="ro-MD"/>
              </w:rPr>
              <w:t xml:space="preserve">, inclusiv statutul, pe o bază </w:t>
            </w:r>
            <w:proofErr w:type="spellStart"/>
            <w:r w:rsidRPr="004D6136">
              <w:rPr>
                <w:rFonts w:ascii="Times New Roman" w:hAnsi="Times New Roman" w:cs="Times New Roman"/>
                <w:bCs/>
                <w:color w:val="000000" w:themeColor="text1"/>
                <w:lang w:val="ro-MD"/>
              </w:rPr>
              <w:t>neconcurenţială</w:t>
            </w:r>
            <w:proofErr w:type="spellEnd"/>
            <w:r w:rsidRPr="004D6136">
              <w:rPr>
                <w:rFonts w:ascii="Times New Roman" w:hAnsi="Times New Roman" w:cs="Times New Roman"/>
                <w:bCs/>
                <w:color w:val="000000" w:themeColor="text1"/>
                <w:lang w:val="ro-MD"/>
              </w:rPr>
              <w:t>;</w:t>
            </w:r>
          </w:p>
          <w:p w14:paraId="214EB4F1" w14:textId="77777777"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(c) scopul său nu este de a maximiza profitul sau cota de </w:t>
            </w:r>
            <w:proofErr w:type="spellStart"/>
            <w:r w:rsidRPr="004D6136">
              <w:rPr>
                <w:rFonts w:ascii="Times New Roman" w:hAnsi="Times New Roman" w:cs="Times New Roman"/>
                <w:bCs/>
                <w:color w:val="000000" w:themeColor="text1"/>
                <w:lang w:val="ro-MD"/>
              </w:rPr>
              <w:t>piaţă</w:t>
            </w:r>
            <w:proofErr w:type="spellEnd"/>
            <w:r w:rsidRPr="004D6136">
              <w:rPr>
                <w:rFonts w:ascii="Times New Roman" w:hAnsi="Times New Roman" w:cs="Times New Roman"/>
                <w:bCs/>
                <w:color w:val="000000" w:themeColor="text1"/>
                <w:lang w:val="ro-MD"/>
              </w:rPr>
              <w:t>;</w:t>
            </w:r>
          </w:p>
          <w:p w14:paraId="63804642" w14:textId="77777777"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(d) sub rezerva normelor Uniunii privind ajutoarele de stat, </w:t>
            </w:r>
            <w:proofErr w:type="spellStart"/>
            <w:r w:rsidRPr="004D6136">
              <w:rPr>
                <w:rFonts w:ascii="Times New Roman" w:hAnsi="Times New Roman" w:cs="Times New Roman"/>
                <w:bCs/>
                <w:color w:val="000000" w:themeColor="text1"/>
                <w:lang w:val="ro-MD"/>
              </w:rPr>
              <w:t>administraţia</w:t>
            </w:r>
            <w:proofErr w:type="spellEnd"/>
            <w:r w:rsidRPr="004D6136">
              <w:rPr>
                <w:rFonts w:ascii="Times New Roman" w:hAnsi="Times New Roman" w:cs="Times New Roman"/>
                <w:bCs/>
                <w:color w:val="000000" w:themeColor="text1"/>
                <w:lang w:val="ro-MD"/>
              </w:rPr>
              <w:t xml:space="preserve"> centrală, </w:t>
            </w:r>
            <w:proofErr w:type="spellStart"/>
            <w:r w:rsidRPr="004D6136">
              <w:rPr>
                <w:rFonts w:ascii="Times New Roman" w:hAnsi="Times New Roman" w:cs="Times New Roman"/>
                <w:bCs/>
                <w:color w:val="000000" w:themeColor="text1"/>
                <w:lang w:val="ro-MD"/>
              </w:rPr>
              <w:t>administraţia</w:t>
            </w:r>
            <w:proofErr w:type="spellEnd"/>
            <w:r w:rsidRPr="004D6136">
              <w:rPr>
                <w:rFonts w:ascii="Times New Roman" w:hAnsi="Times New Roman" w:cs="Times New Roman"/>
                <w:bCs/>
                <w:color w:val="000000" w:themeColor="text1"/>
                <w:lang w:val="ro-MD"/>
              </w:rPr>
              <w:t xml:space="preserve"> regională sau autoritatea locală are </w:t>
            </w:r>
            <w:proofErr w:type="spellStart"/>
            <w:r w:rsidRPr="004D6136">
              <w:rPr>
                <w:rFonts w:ascii="Times New Roman" w:hAnsi="Times New Roman" w:cs="Times New Roman"/>
                <w:bCs/>
                <w:color w:val="000000" w:themeColor="text1"/>
                <w:lang w:val="ro-MD"/>
              </w:rPr>
              <w:t>obligaţia</w:t>
            </w:r>
            <w:proofErr w:type="spellEnd"/>
            <w:r w:rsidRPr="004D6136">
              <w:rPr>
                <w:rFonts w:ascii="Times New Roman" w:hAnsi="Times New Roman" w:cs="Times New Roman"/>
                <w:bCs/>
                <w:color w:val="000000" w:themeColor="text1"/>
                <w:lang w:val="ro-MD"/>
              </w:rPr>
              <w:t xml:space="preserve"> de a proteja viabilitatea </w:t>
            </w:r>
            <w:proofErr w:type="spellStart"/>
            <w:r w:rsidRPr="004D6136">
              <w:rPr>
                <w:rFonts w:ascii="Times New Roman" w:hAnsi="Times New Roman" w:cs="Times New Roman"/>
                <w:bCs/>
                <w:color w:val="000000" w:themeColor="text1"/>
                <w:lang w:val="ro-MD"/>
              </w:rPr>
              <w:t>instituţiei</w:t>
            </w:r>
            <w:proofErr w:type="spellEnd"/>
            <w:r w:rsidRPr="004D6136">
              <w:rPr>
                <w:rFonts w:ascii="Times New Roman" w:hAnsi="Times New Roman" w:cs="Times New Roman"/>
                <w:bCs/>
                <w:color w:val="000000" w:themeColor="text1"/>
                <w:lang w:val="ro-MD"/>
              </w:rPr>
              <w:t xml:space="preserve"> de credit sau garantează, în mod direct sau indirect, cel </w:t>
            </w:r>
            <w:proofErr w:type="spellStart"/>
            <w:r w:rsidRPr="004D6136">
              <w:rPr>
                <w:rFonts w:ascii="Times New Roman" w:hAnsi="Times New Roman" w:cs="Times New Roman"/>
                <w:bCs/>
                <w:color w:val="000000" w:themeColor="text1"/>
                <w:lang w:val="ro-MD"/>
              </w:rPr>
              <w:t>puţin</w:t>
            </w:r>
            <w:proofErr w:type="spellEnd"/>
            <w:r w:rsidRPr="004D6136">
              <w:rPr>
                <w:rFonts w:ascii="Times New Roman" w:hAnsi="Times New Roman" w:cs="Times New Roman"/>
                <w:bCs/>
                <w:color w:val="000000" w:themeColor="text1"/>
                <w:lang w:val="ro-MD"/>
              </w:rPr>
              <w:t xml:space="preserve"> 90 % din </w:t>
            </w:r>
            <w:proofErr w:type="spellStart"/>
            <w:r w:rsidRPr="004D6136">
              <w:rPr>
                <w:rFonts w:ascii="Times New Roman" w:hAnsi="Times New Roman" w:cs="Times New Roman"/>
                <w:bCs/>
                <w:color w:val="000000" w:themeColor="text1"/>
                <w:lang w:val="ro-MD"/>
              </w:rPr>
              <w:t>cerinţele</w:t>
            </w:r>
            <w:proofErr w:type="spellEnd"/>
            <w:r w:rsidRPr="004D6136">
              <w:rPr>
                <w:rFonts w:ascii="Times New Roman" w:hAnsi="Times New Roman" w:cs="Times New Roman"/>
                <w:bCs/>
                <w:color w:val="000000" w:themeColor="text1"/>
                <w:lang w:val="ro-MD"/>
              </w:rPr>
              <w:t xml:space="preserve"> de fonduri proprii, </w:t>
            </w:r>
            <w:proofErr w:type="spellStart"/>
            <w:r w:rsidRPr="004D6136">
              <w:rPr>
                <w:rFonts w:ascii="Times New Roman" w:hAnsi="Times New Roman" w:cs="Times New Roman"/>
                <w:bCs/>
                <w:color w:val="000000" w:themeColor="text1"/>
                <w:lang w:val="ro-MD"/>
              </w:rPr>
              <w:t>cerinţele</w:t>
            </w:r>
            <w:proofErr w:type="spellEnd"/>
            <w:r w:rsidRPr="004D6136">
              <w:rPr>
                <w:rFonts w:ascii="Times New Roman" w:hAnsi="Times New Roman" w:cs="Times New Roman"/>
                <w:bCs/>
                <w:color w:val="000000" w:themeColor="text1"/>
                <w:lang w:val="ro-MD"/>
              </w:rPr>
              <w:t xml:space="preserve"> de </w:t>
            </w:r>
            <w:proofErr w:type="spellStart"/>
            <w:r w:rsidRPr="004D6136">
              <w:rPr>
                <w:rFonts w:ascii="Times New Roman" w:hAnsi="Times New Roman" w:cs="Times New Roman"/>
                <w:bCs/>
                <w:color w:val="000000" w:themeColor="text1"/>
                <w:lang w:val="ro-MD"/>
              </w:rPr>
              <w:t>finanţare</w:t>
            </w:r>
            <w:proofErr w:type="spellEnd"/>
            <w:r w:rsidRPr="004D6136">
              <w:rPr>
                <w:rFonts w:ascii="Times New Roman" w:hAnsi="Times New Roman" w:cs="Times New Roman"/>
                <w:bCs/>
                <w:color w:val="000000" w:themeColor="text1"/>
                <w:lang w:val="ro-MD"/>
              </w:rPr>
              <w:t xml:space="preserve"> sau creditele </w:t>
            </w:r>
            <w:proofErr w:type="spellStart"/>
            <w:r w:rsidRPr="004D6136">
              <w:rPr>
                <w:rFonts w:ascii="Times New Roman" w:hAnsi="Times New Roman" w:cs="Times New Roman"/>
                <w:bCs/>
                <w:color w:val="000000" w:themeColor="text1"/>
                <w:lang w:val="ro-MD"/>
              </w:rPr>
              <w:t>promoţionale</w:t>
            </w:r>
            <w:proofErr w:type="spellEnd"/>
            <w:r w:rsidRPr="004D6136">
              <w:rPr>
                <w:rFonts w:ascii="Times New Roman" w:hAnsi="Times New Roman" w:cs="Times New Roman"/>
                <w:bCs/>
                <w:color w:val="000000" w:themeColor="text1"/>
                <w:lang w:val="ro-MD"/>
              </w:rPr>
              <w:t xml:space="preserve"> acordate ale </w:t>
            </w:r>
            <w:proofErr w:type="spellStart"/>
            <w:r w:rsidRPr="004D6136">
              <w:rPr>
                <w:rFonts w:ascii="Times New Roman" w:hAnsi="Times New Roman" w:cs="Times New Roman"/>
                <w:bCs/>
                <w:color w:val="000000" w:themeColor="text1"/>
                <w:lang w:val="ro-MD"/>
              </w:rPr>
              <w:t>instituţiei</w:t>
            </w:r>
            <w:proofErr w:type="spellEnd"/>
            <w:r w:rsidRPr="004D6136">
              <w:rPr>
                <w:rFonts w:ascii="Times New Roman" w:hAnsi="Times New Roman" w:cs="Times New Roman"/>
                <w:bCs/>
                <w:color w:val="000000" w:themeColor="text1"/>
                <w:lang w:val="ro-MD"/>
              </w:rPr>
              <w:t xml:space="preserve"> de credit;</w:t>
            </w:r>
          </w:p>
          <w:p w14:paraId="4B144178" w14:textId="77777777"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(e) nu acceptă depozite acoperite, astfel cum sunt definite la articolul 2 alineatul (1) punctul 5 din Directiva 2014/49/UE sau în </w:t>
            </w:r>
            <w:proofErr w:type="spellStart"/>
            <w:r w:rsidRPr="004D6136">
              <w:rPr>
                <w:rFonts w:ascii="Times New Roman" w:hAnsi="Times New Roman" w:cs="Times New Roman"/>
                <w:bCs/>
                <w:color w:val="000000" w:themeColor="text1"/>
                <w:lang w:val="ro-MD"/>
              </w:rPr>
              <w:t>legislaţia</w:t>
            </w:r>
            <w:proofErr w:type="spellEnd"/>
            <w:r w:rsidRPr="004D6136">
              <w:rPr>
                <w:rFonts w:ascii="Times New Roman" w:hAnsi="Times New Roman" w:cs="Times New Roman"/>
                <w:bCs/>
                <w:color w:val="000000" w:themeColor="text1"/>
                <w:lang w:val="ro-MD"/>
              </w:rPr>
              <w:t xml:space="preserve"> </w:t>
            </w:r>
            <w:proofErr w:type="spellStart"/>
            <w:r w:rsidRPr="004D6136">
              <w:rPr>
                <w:rFonts w:ascii="Times New Roman" w:hAnsi="Times New Roman" w:cs="Times New Roman"/>
                <w:bCs/>
                <w:color w:val="000000" w:themeColor="text1"/>
                <w:lang w:val="ro-MD"/>
              </w:rPr>
              <w:t>naţională</w:t>
            </w:r>
            <w:proofErr w:type="spellEnd"/>
            <w:r w:rsidRPr="004D6136">
              <w:rPr>
                <w:rFonts w:ascii="Times New Roman" w:hAnsi="Times New Roman" w:cs="Times New Roman"/>
                <w:bCs/>
                <w:color w:val="000000" w:themeColor="text1"/>
                <w:lang w:val="ro-MD"/>
              </w:rPr>
              <w:t xml:space="preserve"> prin care se pune în aplicare această directivă, care pot fi clasificate drept depozite la termen sau depozite de economii de la consumatori, astfel cum sunt </w:t>
            </w:r>
            <w:proofErr w:type="spellStart"/>
            <w:r w:rsidRPr="004D6136">
              <w:rPr>
                <w:rFonts w:ascii="Times New Roman" w:hAnsi="Times New Roman" w:cs="Times New Roman"/>
                <w:bCs/>
                <w:color w:val="000000" w:themeColor="text1"/>
                <w:lang w:val="ro-MD"/>
              </w:rPr>
              <w:t>definiţi</w:t>
            </w:r>
            <w:proofErr w:type="spellEnd"/>
            <w:r w:rsidRPr="004D6136">
              <w:rPr>
                <w:rFonts w:ascii="Times New Roman" w:hAnsi="Times New Roman" w:cs="Times New Roman"/>
                <w:bCs/>
                <w:color w:val="000000" w:themeColor="text1"/>
                <w:lang w:val="ro-MD"/>
              </w:rPr>
              <w:t xml:space="preserve"> la </w:t>
            </w:r>
            <w:r w:rsidRPr="004D6136">
              <w:rPr>
                <w:rFonts w:ascii="Times New Roman" w:hAnsi="Times New Roman" w:cs="Times New Roman"/>
                <w:bCs/>
                <w:color w:val="000000" w:themeColor="text1"/>
                <w:lang w:val="ro-MD"/>
              </w:rPr>
              <w:lastRenderedPageBreak/>
              <w:t>articolul 3 litera (a) din Directiva 2008/48/CE a Parlamentului European și a Consiliului (1).</w:t>
            </w:r>
          </w:p>
          <w:p w14:paraId="63207D38" w14:textId="77777777"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În sensul primului paragraf litera (b), obiectivele de politică publică pot include furnizarea de </w:t>
            </w:r>
            <w:proofErr w:type="spellStart"/>
            <w:r w:rsidRPr="004D6136">
              <w:rPr>
                <w:rFonts w:ascii="Times New Roman" w:hAnsi="Times New Roman" w:cs="Times New Roman"/>
                <w:bCs/>
                <w:color w:val="000000" w:themeColor="text1"/>
                <w:lang w:val="ro-MD"/>
              </w:rPr>
              <w:t>finanţare</w:t>
            </w:r>
            <w:proofErr w:type="spellEnd"/>
            <w:r w:rsidRPr="004D6136">
              <w:rPr>
                <w:rFonts w:ascii="Times New Roman" w:hAnsi="Times New Roman" w:cs="Times New Roman"/>
                <w:bCs/>
                <w:color w:val="000000" w:themeColor="text1"/>
                <w:lang w:val="ro-MD"/>
              </w:rPr>
              <w:t>, în scopuri de promovare sau dezvoltare, anumitor sectoare economice sau regiuni geografice din statul membru relevant.</w:t>
            </w:r>
          </w:p>
          <w:p w14:paraId="7070CB5F" w14:textId="77777777" w:rsidR="00951D3F" w:rsidRPr="004D6136" w:rsidRDefault="00951D3F" w:rsidP="00951D3F">
            <w:pPr>
              <w:spacing w:after="0" w:line="276" w:lineRule="auto"/>
              <w:jc w:val="both"/>
              <w:rPr>
                <w:rFonts w:ascii="Times New Roman" w:hAnsi="Times New Roman" w:cs="Times New Roman"/>
                <w:b/>
                <w:bCs/>
                <w:color w:val="000000" w:themeColor="text1"/>
                <w:lang w:val="ro-MD"/>
              </w:rPr>
            </w:pPr>
            <w:r w:rsidRPr="004D6136">
              <w:rPr>
                <w:rFonts w:ascii="Times New Roman" w:hAnsi="Times New Roman" w:cs="Times New Roman"/>
                <w:b/>
                <w:bCs/>
                <w:color w:val="000000" w:themeColor="text1"/>
                <w:lang w:val="ro-MD"/>
              </w:rPr>
              <w:t>▼C7</w:t>
            </w:r>
          </w:p>
          <w:p w14:paraId="3236E948" w14:textId="77777777"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În sensul alineatului (1) literele (d) și (e) și fără a aduce atingere normelor Uniunii privind ajutoarele de stat, precum și </w:t>
            </w:r>
            <w:proofErr w:type="spellStart"/>
            <w:r w:rsidRPr="004D6136">
              <w:rPr>
                <w:rFonts w:ascii="Times New Roman" w:hAnsi="Times New Roman" w:cs="Times New Roman"/>
                <w:bCs/>
                <w:color w:val="000000" w:themeColor="text1"/>
                <w:lang w:val="ro-MD"/>
              </w:rPr>
              <w:t>obligaţiilor</w:t>
            </w:r>
            <w:proofErr w:type="spellEnd"/>
            <w:r w:rsidRPr="004D6136">
              <w:rPr>
                <w:rFonts w:ascii="Times New Roman" w:hAnsi="Times New Roman" w:cs="Times New Roman"/>
                <w:bCs/>
                <w:color w:val="000000" w:themeColor="text1"/>
                <w:lang w:val="ro-MD"/>
              </w:rPr>
              <w:t xml:space="preserve"> statelor membre în temeiul acestuia, </w:t>
            </w:r>
            <w:proofErr w:type="spellStart"/>
            <w:r w:rsidRPr="004D6136">
              <w:rPr>
                <w:rFonts w:ascii="Times New Roman" w:hAnsi="Times New Roman" w:cs="Times New Roman"/>
                <w:bCs/>
                <w:color w:val="000000" w:themeColor="text1"/>
                <w:lang w:val="ro-MD"/>
              </w:rPr>
              <w:t>autorităţile</w:t>
            </w:r>
            <w:proofErr w:type="spellEnd"/>
            <w:r w:rsidRPr="004D6136">
              <w:rPr>
                <w:rFonts w:ascii="Times New Roman" w:hAnsi="Times New Roman" w:cs="Times New Roman"/>
                <w:bCs/>
                <w:color w:val="000000" w:themeColor="text1"/>
                <w:lang w:val="ro-MD"/>
              </w:rPr>
              <w:t xml:space="preserve"> competente pot, la cererea unei </w:t>
            </w:r>
            <w:proofErr w:type="spellStart"/>
            <w:r w:rsidRPr="004D6136">
              <w:rPr>
                <w:rFonts w:ascii="Times New Roman" w:hAnsi="Times New Roman" w:cs="Times New Roman"/>
                <w:bCs/>
                <w:color w:val="000000" w:themeColor="text1"/>
                <w:lang w:val="ro-MD"/>
              </w:rPr>
              <w:t>instituţii</w:t>
            </w:r>
            <w:proofErr w:type="spellEnd"/>
            <w:r w:rsidRPr="004D6136">
              <w:rPr>
                <w:rFonts w:ascii="Times New Roman" w:hAnsi="Times New Roman" w:cs="Times New Roman"/>
                <w:bCs/>
                <w:color w:val="000000" w:themeColor="text1"/>
                <w:lang w:val="ro-MD"/>
              </w:rPr>
              <w:t>, să trateze o unitate autonomă și independentă</w:t>
            </w:r>
          </w:p>
          <w:p w14:paraId="7FA04D0A" w14:textId="77777777" w:rsidR="00951D3F" w:rsidRPr="004D6136" w:rsidRDefault="00951D3F" w:rsidP="00951D3F">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din punct de vedere </w:t>
            </w:r>
            <w:proofErr w:type="spellStart"/>
            <w:r w:rsidRPr="004D6136">
              <w:rPr>
                <w:rFonts w:ascii="Times New Roman" w:hAnsi="Times New Roman" w:cs="Times New Roman"/>
                <w:bCs/>
                <w:color w:val="000000" w:themeColor="text1"/>
                <w:lang w:val="ro-MD"/>
              </w:rPr>
              <w:t>organizaţional</w:t>
            </w:r>
            <w:proofErr w:type="spellEnd"/>
            <w:r w:rsidRPr="004D6136">
              <w:rPr>
                <w:rFonts w:ascii="Times New Roman" w:hAnsi="Times New Roman" w:cs="Times New Roman"/>
                <w:bCs/>
                <w:color w:val="000000" w:themeColor="text1"/>
                <w:lang w:val="ro-MD"/>
              </w:rPr>
              <w:t xml:space="preserve">, structural și financiar a acelei </w:t>
            </w:r>
            <w:proofErr w:type="spellStart"/>
            <w:r w:rsidRPr="004D6136">
              <w:rPr>
                <w:rFonts w:ascii="Times New Roman" w:hAnsi="Times New Roman" w:cs="Times New Roman"/>
                <w:bCs/>
                <w:color w:val="000000" w:themeColor="text1"/>
                <w:lang w:val="ro-MD"/>
              </w:rPr>
              <w:t>instituţii</w:t>
            </w:r>
            <w:proofErr w:type="spellEnd"/>
            <w:r w:rsidRPr="004D6136">
              <w:rPr>
                <w:rFonts w:ascii="Times New Roman" w:hAnsi="Times New Roman" w:cs="Times New Roman"/>
                <w:bCs/>
                <w:color w:val="000000" w:themeColor="text1"/>
                <w:lang w:val="ro-MD"/>
              </w:rPr>
              <w:t xml:space="preserve"> ca fiind o </w:t>
            </w:r>
            <w:proofErr w:type="spellStart"/>
            <w:r w:rsidRPr="004D6136">
              <w:rPr>
                <w:rFonts w:ascii="Times New Roman" w:hAnsi="Times New Roman" w:cs="Times New Roman"/>
                <w:bCs/>
                <w:color w:val="000000" w:themeColor="text1"/>
                <w:lang w:val="ro-MD"/>
              </w:rPr>
              <w:t>instituţie</w:t>
            </w:r>
            <w:proofErr w:type="spellEnd"/>
            <w:r w:rsidRPr="004D6136">
              <w:rPr>
                <w:rFonts w:ascii="Times New Roman" w:hAnsi="Times New Roman" w:cs="Times New Roman"/>
                <w:bCs/>
                <w:color w:val="000000" w:themeColor="text1"/>
                <w:lang w:val="ro-MD"/>
              </w:rPr>
              <w:t xml:space="preserve"> de credit pentru dezvoltare publică, cu </w:t>
            </w:r>
            <w:proofErr w:type="spellStart"/>
            <w:r w:rsidRPr="004D6136">
              <w:rPr>
                <w:rFonts w:ascii="Times New Roman" w:hAnsi="Times New Roman" w:cs="Times New Roman"/>
                <w:bCs/>
                <w:color w:val="000000" w:themeColor="text1"/>
                <w:lang w:val="ro-MD"/>
              </w:rPr>
              <w:t>condiţia</w:t>
            </w:r>
            <w:proofErr w:type="spellEnd"/>
            <w:r w:rsidRPr="004D6136">
              <w:rPr>
                <w:rFonts w:ascii="Times New Roman" w:hAnsi="Times New Roman" w:cs="Times New Roman"/>
                <w:bCs/>
                <w:color w:val="000000" w:themeColor="text1"/>
                <w:lang w:val="ro-MD"/>
              </w:rPr>
              <w:t xml:space="preserve"> ca unitatea să îndeplinească cumulativ </w:t>
            </w:r>
            <w:proofErr w:type="spellStart"/>
            <w:r w:rsidRPr="004D6136">
              <w:rPr>
                <w:rFonts w:ascii="Times New Roman" w:hAnsi="Times New Roman" w:cs="Times New Roman"/>
                <w:bCs/>
                <w:color w:val="000000" w:themeColor="text1"/>
                <w:lang w:val="ro-MD"/>
              </w:rPr>
              <w:t>condiţiile</w:t>
            </w:r>
            <w:proofErr w:type="spellEnd"/>
            <w:r w:rsidRPr="004D6136">
              <w:rPr>
                <w:rFonts w:ascii="Times New Roman" w:hAnsi="Times New Roman" w:cs="Times New Roman"/>
                <w:bCs/>
                <w:color w:val="000000" w:themeColor="text1"/>
                <w:lang w:val="ro-MD"/>
              </w:rPr>
              <w:t xml:space="preserve"> enumerate la primul paragraf și ca un astfel de tratament să nu afecteze eficacitatea supravegherii </w:t>
            </w:r>
            <w:proofErr w:type="spellStart"/>
            <w:r w:rsidRPr="004D6136">
              <w:rPr>
                <w:rFonts w:ascii="Times New Roman" w:hAnsi="Times New Roman" w:cs="Times New Roman"/>
                <w:bCs/>
                <w:color w:val="000000" w:themeColor="text1"/>
                <w:lang w:val="ro-MD"/>
              </w:rPr>
              <w:t>instituţiei</w:t>
            </w:r>
            <w:proofErr w:type="spellEnd"/>
            <w:r w:rsidRPr="004D6136">
              <w:rPr>
                <w:rFonts w:ascii="Times New Roman" w:hAnsi="Times New Roman" w:cs="Times New Roman"/>
                <w:bCs/>
                <w:color w:val="000000" w:themeColor="text1"/>
                <w:lang w:val="ro-MD"/>
              </w:rPr>
              <w:t xml:space="preserve"> respective. </w:t>
            </w:r>
            <w:proofErr w:type="spellStart"/>
            <w:r w:rsidRPr="004D6136">
              <w:rPr>
                <w:rFonts w:ascii="Times New Roman" w:hAnsi="Times New Roman" w:cs="Times New Roman"/>
                <w:bCs/>
                <w:color w:val="000000" w:themeColor="text1"/>
                <w:lang w:val="ro-MD"/>
              </w:rPr>
              <w:t>Autorităţile</w:t>
            </w:r>
            <w:proofErr w:type="spellEnd"/>
            <w:r w:rsidRPr="004D6136">
              <w:rPr>
                <w:rFonts w:ascii="Times New Roman" w:hAnsi="Times New Roman" w:cs="Times New Roman"/>
                <w:bCs/>
                <w:color w:val="000000" w:themeColor="text1"/>
                <w:lang w:val="ro-MD"/>
              </w:rPr>
              <w:t xml:space="preserve"> competente notifică fără întârziere Comisiei și ABE orice decizie de a trata, în sensul prezentului paragraf, o unitate a unei </w:t>
            </w:r>
            <w:proofErr w:type="spellStart"/>
            <w:r w:rsidRPr="004D6136">
              <w:rPr>
                <w:rFonts w:ascii="Times New Roman" w:hAnsi="Times New Roman" w:cs="Times New Roman"/>
                <w:bCs/>
                <w:color w:val="000000" w:themeColor="text1"/>
                <w:lang w:val="ro-MD"/>
              </w:rPr>
              <w:t>instituţii</w:t>
            </w:r>
            <w:proofErr w:type="spellEnd"/>
            <w:r w:rsidRPr="004D6136">
              <w:rPr>
                <w:rFonts w:ascii="Times New Roman" w:hAnsi="Times New Roman" w:cs="Times New Roman"/>
                <w:bCs/>
                <w:color w:val="000000" w:themeColor="text1"/>
                <w:lang w:val="ro-MD"/>
              </w:rPr>
              <w:t xml:space="preserve"> ca fiind o </w:t>
            </w:r>
            <w:proofErr w:type="spellStart"/>
            <w:r w:rsidRPr="004D6136">
              <w:rPr>
                <w:rFonts w:ascii="Times New Roman" w:hAnsi="Times New Roman" w:cs="Times New Roman"/>
                <w:bCs/>
                <w:color w:val="000000" w:themeColor="text1"/>
                <w:lang w:val="ro-MD"/>
              </w:rPr>
              <w:t>instituţie</w:t>
            </w:r>
            <w:proofErr w:type="spellEnd"/>
            <w:r w:rsidRPr="004D6136">
              <w:rPr>
                <w:rFonts w:ascii="Times New Roman" w:hAnsi="Times New Roman" w:cs="Times New Roman"/>
                <w:bCs/>
                <w:color w:val="000000" w:themeColor="text1"/>
                <w:lang w:val="ro-MD"/>
              </w:rPr>
              <w:t xml:space="preserve"> de credit pentru dezvoltare publică. Autoritatea competentă examinează anual o astfel de</w:t>
            </w:r>
          </w:p>
          <w:p w14:paraId="2CB2590E" w14:textId="4FF8B3B3" w:rsidR="00951D3F" w:rsidRPr="004D6136" w:rsidRDefault="00951D3F" w:rsidP="00951D3F">
            <w:pPr>
              <w:spacing w:after="0" w:line="276" w:lineRule="auto"/>
              <w:jc w:val="both"/>
              <w:rPr>
                <w:rFonts w:ascii="Times New Roman" w:hAnsi="Times New Roman" w:cs="Times New Roman"/>
                <w:bCs/>
                <w:color w:val="000000" w:themeColor="text1"/>
                <w:lang w:val="it-IT"/>
              </w:rPr>
            </w:pPr>
            <w:r w:rsidRPr="004D6136">
              <w:rPr>
                <w:rFonts w:ascii="Times New Roman" w:hAnsi="Times New Roman" w:cs="Times New Roman"/>
                <w:bCs/>
                <w:color w:val="000000" w:themeColor="text1"/>
                <w:lang w:val="ro-MD"/>
              </w:rPr>
              <w:t>decizie.</w:t>
            </w:r>
          </w:p>
        </w:tc>
        <w:tc>
          <w:tcPr>
            <w:tcW w:w="1557" w:type="pct"/>
            <w:shd w:val="clear" w:color="auto" w:fill="auto"/>
          </w:tcPr>
          <w:p w14:paraId="510F2A1A" w14:textId="6839BA58" w:rsidR="00951D3F" w:rsidRPr="004D6136" w:rsidRDefault="00951D3F" w:rsidP="00816196">
            <w:pPr>
              <w:spacing w:after="0" w:line="276" w:lineRule="auto"/>
              <w:jc w:val="both"/>
              <w:rPr>
                <w:rFonts w:ascii="Times New Roman" w:hAnsi="Times New Roman" w:cs="Times New Roman"/>
                <w:bCs/>
                <w:color w:val="000000" w:themeColor="text1"/>
                <w:lang w:val="ro-MD"/>
              </w:rPr>
            </w:pPr>
          </w:p>
        </w:tc>
        <w:tc>
          <w:tcPr>
            <w:tcW w:w="585" w:type="pct"/>
          </w:tcPr>
          <w:p w14:paraId="4DCF143E" w14:textId="58CAF0CE" w:rsidR="00951D3F" w:rsidRPr="004D6136" w:rsidRDefault="003F489C" w:rsidP="00951D3F">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Prevederi UE netranspuse</w:t>
            </w:r>
          </w:p>
        </w:tc>
        <w:tc>
          <w:tcPr>
            <w:tcW w:w="1261" w:type="pct"/>
          </w:tcPr>
          <w:p w14:paraId="39555171" w14:textId="7231A825" w:rsidR="003F489C" w:rsidRPr="004D6136" w:rsidRDefault="003F489C" w:rsidP="003F489C">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Prevederile de la alin.(2) se referă la instituții de credit pentru dezvoltare publică</w:t>
            </w:r>
            <w:r w:rsidR="00816196" w:rsidRPr="004D6136">
              <w:rPr>
                <w:rFonts w:ascii="Times New Roman" w:hAnsi="Times New Roman" w:cs="Times New Roman"/>
                <w:bCs/>
                <w:color w:val="000000" w:themeColor="text1"/>
                <w:lang w:val="ro-MD"/>
              </w:rPr>
              <w:t>,</w:t>
            </w:r>
            <w:r w:rsidRPr="004D6136">
              <w:rPr>
                <w:rFonts w:ascii="Times New Roman" w:hAnsi="Times New Roman" w:cs="Times New Roman"/>
                <w:bCs/>
                <w:color w:val="000000" w:themeColor="text1"/>
                <w:lang w:val="ro-MD"/>
              </w:rPr>
              <w:t xml:space="preserve"> credite promoționale</w:t>
            </w:r>
            <w:r w:rsidR="00816196" w:rsidRPr="004D6136">
              <w:rPr>
                <w:rFonts w:ascii="Times New Roman" w:hAnsi="Times New Roman" w:cs="Times New Roman"/>
                <w:bCs/>
                <w:color w:val="000000" w:themeColor="text1"/>
                <w:lang w:val="ro-MD"/>
              </w:rPr>
              <w:t xml:space="preserve"> și</w:t>
            </w:r>
            <w:r w:rsidRPr="004D6136">
              <w:rPr>
                <w:rFonts w:ascii="Times New Roman" w:hAnsi="Times New Roman" w:cs="Times New Roman"/>
                <w:bCs/>
                <w:color w:val="000000" w:themeColor="text1"/>
                <w:lang w:val="ro-MD"/>
              </w:rPr>
              <w:t xml:space="preserve"> </w:t>
            </w:r>
            <w:r w:rsidR="00816196" w:rsidRPr="004D6136">
              <w:rPr>
                <w:rFonts w:ascii="Times New Roman" w:hAnsi="Times New Roman" w:cs="Times New Roman"/>
                <w:bCs/>
                <w:color w:val="000000" w:themeColor="text1"/>
                <w:lang w:val="ro-MD"/>
              </w:rPr>
              <w:t xml:space="preserve">credite </w:t>
            </w:r>
            <w:r w:rsidR="00816196" w:rsidRPr="004D6136">
              <w:rPr>
                <w:rFonts w:ascii="Times New Roman" w:hAnsi="Times New Roman" w:cs="Times New Roman"/>
                <w:bCs/>
                <w:color w:val="000000" w:themeColor="text1"/>
                <w:lang w:val="ro-MD"/>
              </w:rPr>
              <w:lastRenderedPageBreak/>
              <w:t xml:space="preserve">promoționale de tip </w:t>
            </w:r>
            <w:proofErr w:type="spellStart"/>
            <w:r w:rsidR="00816196" w:rsidRPr="004D6136">
              <w:rPr>
                <w:rFonts w:ascii="Times New Roman" w:hAnsi="Times New Roman" w:cs="Times New Roman"/>
                <w:bCs/>
                <w:color w:val="000000" w:themeColor="text1"/>
                <w:lang w:val="ro-MD"/>
              </w:rPr>
              <w:t>pass-through</w:t>
            </w:r>
            <w:proofErr w:type="spellEnd"/>
            <w:r w:rsidR="00816196" w:rsidRPr="004D6136">
              <w:rPr>
                <w:rFonts w:ascii="Times New Roman" w:hAnsi="Times New Roman" w:cs="Times New Roman"/>
                <w:bCs/>
                <w:color w:val="000000" w:themeColor="text1"/>
                <w:lang w:val="ro-MD"/>
              </w:rPr>
              <w:t xml:space="preserve"> </w:t>
            </w:r>
            <w:r w:rsidRPr="004D6136">
              <w:rPr>
                <w:rFonts w:ascii="Times New Roman" w:hAnsi="Times New Roman" w:cs="Times New Roman"/>
                <w:bCs/>
                <w:color w:val="000000" w:themeColor="text1"/>
                <w:lang w:val="ro-MD"/>
              </w:rPr>
              <w:t>prevederi care încă nu sunt reglementate în legislația Republicii Moldova.</w:t>
            </w:r>
          </w:p>
          <w:p w14:paraId="1C485E79" w14:textId="3E8CB5FA" w:rsidR="00951D3F" w:rsidRPr="004D6136" w:rsidRDefault="00951D3F" w:rsidP="003F489C">
            <w:pPr>
              <w:spacing w:line="276" w:lineRule="auto"/>
              <w:jc w:val="both"/>
              <w:rPr>
                <w:rFonts w:ascii="Times New Roman" w:hAnsi="Times New Roman" w:cs="Times New Roman"/>
                <w:bCs/>
                <w:color w:val="000000" w:themeColor="text1"/>
                <w:lang w:val="ro-MD"/>
              </w:rPr>
            </w:pPr>
          </w:p>
        </w:tc>
      </w:tr>
      <w:tr w:rsidR="00816196" w:rsidRPr="004D6136" w14:paraId="3AD52185" w14:textId="77777777" w:rsidTr="000F0E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502A8211" w14:textId="137AB989" w:rsidR="00816196" w:rsidRPr="004D6136" w:rsidRDefault="00816196" w:rsidP="00816196">
            <w:pPr>
              <w:spacing w:after="0" w:line="276" w:lineRule="auto"/>
              <w:jc w:val="both"/>
              <w:rPr>
                <w:rFonts w:ascii="Times New Roman" w:hAnsi="Times New Roman" w:cs="Times New Roman"/>
                <w:bCs/>
                <w:color w:val="000000" w:themeColor="text1"/>
                <w:lang w:val="it-IT"/>
              </w:rPr>
            </w:pPr>
            <w:r w:rsidRPr="004D6136">
              <w:rPr>
                <w:rFonts w:ascii="Times New Roman" w:hAnsi="Times New Roman" w:cs="Times New Roman"/>
                <w:bCs/>
                <w:color w:val="000000" w:themeColor="text1"/>
                <w:lang w:val="it-IT"/>
              </w:rPr>
              <w:lastRenderedPageBreak/>
              <w:t>(3) În sensul alineatului (1) literele (d) și (e) și al alineatului (2) litera (d), „credit promoţional” înseamnă un credit acordat de o instituţie de credit pentru dezvoltare publică sau de o entitate creată de administraţia centrală, de administraţia regională sau de autoritatea locală a unui stat membru, direct sau printr-o instituţie de credit intermediară, pe bază neconcurenţială, nonprofit, în scopul promovării obiectivelor de politică publică ale administraţiei centrale, ale administraţiei regionale sau ale autorităţii locale dintr-un stat membru.</w:t>
            </w:r>
          </w:p>
        </w:tc>
        <w:tc>
          <w:tcPr>
            <w:tcW w:w="1557" w:type="pct"/>
            <w:shd w:val="clear" w:color="auto" w:fill="auto"/>
          </w:tcPr>
          <w:p w14:paraId="09CCB84C" w14:textId="369FB5EE" w:rsidR="00816196" w:rsidRPr="004D6136" w:rsidRDefault="00816196" w:rsidP="00816196">
            <w:pPr>
              <w:spacing w:after="0" w:line="276" w:lineRule="auto"/>
              <w:jc w:val="both"/>
              <w:rPr>
                <w:rFonts w:ascii="Times New Roman" w:hAnsi="Times New Roman" w:cs="Times New Roman"/>
                <w:bCs/>
                <w:color w:val="000000" w:themeColor="text1"/>
                <w:lang w:val="ro-MD"/>
              </w:rPr>
            </w:pPr>
          </w:p>
        </w:tc>
        <w:tc>
          <w:tcPr>
            <w:tcW w:w="585" w:type="pct"/>
          </w:tcPr>
          <w:p w14:paraId="0DC6E13A" w14:textId="1CDFE855" w:rsidR="00816196" w:rsidRPr="004D6136" w:rsidRDefault="00816196" w:rsidP="00816196">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Prevederi UE netranspuse</w:t>
            </w:r>
          </w:p>
        </w:tc>
        <w:tc>
          <w:tcPr>
            <w:tcW w:w="1261" w:type="pct"/>
          </w:tcPr>
          <w:p w14:paraId="54E0BF3F" w14:textId="27797DF1" w:rsidR="00816196" w:rsidRPr="004D6136" w:rsidRDefault="00816196" w:rsidP="00816196">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Prevederile de la alin.(3) se referă la credite promoționale - prevederi care încă nu sunt reglementate în legislația Republicii Moldova.</w:t>
            </w:r>
          </w:p>
          <w:p w14:paraId="21BB2897" w14:textId="77777777" w:rsidR="00816196" w:rsidRPr="004D6136" w:rsidRDefault="00816196" w:rsidP="00816196">
            <w:pPr>
              <w:spacing w:line="276" w:lineRule="auto"/>
              <w:jc w:val="both"/>
              <w:rPr>
                <w:rFonts w:ascii="Times New Roman" w:hAnsi="Times New Roman" w:cs="Times New Roman"/>
                <w:bCs/>
                <w:color w:val="000000" w:themeColor="text1"/>
                <w:lang w:val="ro-MD"/>
              </w:rPr>
            </w:pPr>
          </w:p>
        </w:tc>
      </w:tr>
      <w:tr w:rsidR="00816196" w:rsidRPr="004D6136" w14:paraId="2F078FFD" w14:textId="77777777" w:rsidTr="000F0E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7EFA7638" w14:textId="72F0EA7B"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(4) </w:t>
            </w:r>
            <w:proofErr w:type="spellStart"/>
            <w:r w:rsidRPr="004D6136">
              <w:rPr>
                <w:rFonts w:ascii="Times New Roman" w:hAnsi="Times New Roman" w:cs="Times New Roman"/>
                <w:bCs/>
                <w:color w:val="000000" w:themeColor="text1"/>
                <w:lang w:val="ro-MD"/>
              </w:rPr>
              <w:t>Instituţiile</w:t>
            </w:r>
            <w:proofErr w:type="spellEnd"/>
            <w:r w:rsidRPr="004D6136">
              <w:rPr>
                <w:rFonts w:ascii="Times New Roman" w:hAnsi="Times New Roman" w:cs="Times New Roman"/>
                <w:bCs/>
                <w:color w:val="000000" w:themeColor="text1"/>
                <w:lang w:val="ro-MD"/>
              </w:rPr>
              <w:t xml:space="preserve"> nu exclud expunerile din </w:t>
            </w:r>
            <w:proofErr w:type="spellStart"/>
            <w:r w:rsidRPr="004D6136">
              <w:rPr>
                <w:rFonts w:ascii="Times New Roman" w:hAnsi="Times New Roman" w:cs="Times New Roman"/>
                <w:bCs/>
                <w:color w:val="000000" w:themeColor="text1"/>
                <w:lang w:val="ro-MD"/>
              </w:rPr>
              <w:t>tranzacţii</w:t>
            </w:r>
            <w:proofErr w:type="spellEnd"/>
            <w:r w:rsidRPr="004D6136">
              <w:rPr>
                <w:rFonts w:ascii="Times New Roman" w:hAnsi="Times New Roman" w:cs="Times New Roman"/>
                <w:bCs/>
                <w:color w:val="000000" w:themeColor="text1"/>
                <w:lang w:val="ro-MD"/>
              </w:rPr>
              <w:t xml:space="preserve"> prevăzute la alineatul (1) literele (g) și (h) de la prezentul articol dacă nu este îndeplinită </w:t>
            </w:r>
            <w:proofErr w:type="spellStart"/>
            <w:r w:rsidRPr="004D6136">
              <w:rPr>
                <w:rFonts w:ascii="Times New Roman" w:hAnsi="Times New Roman" w:cs="Times New Roman"/>
                <w:bCs/>
                <w:color w:val="000000" w:themeColor="text1"/>
                <w:lang w:val="ro-MD"/>
              </w:rPr>
              <w:t>condiţia</w:t>
            </w:r>
            <w:proofErr w:type="spellEnd"/>
            <w:r w:rsidRPr="004D6136">
              <w:rPr>
                <w:rFonts w:ascii="Times New Roman" w:hAnsi="Times New Roman" w:cs="Times New Roman"/>
                <w:bCs/>
                <w:color w:val="000000" w:themeColor="text1"/>
                <w:lang w:val="ro-MD"/>
              </w:rPr>
              <w:t xml:space="preserve"> prevăzută la articolul 429 alineatul (5) al treilea paragraf.</w:t>
            </w:r>
          </w:p>
        </w:tc>
        <w:tc>
          <w:tcPr>
            <w:tcW w:w="1557" w:type="pct"/>
            <w:shd w:val="clear" w:color="auto" w:fill="auto"/>
          </w:tcPr>
          <w:p w14:paraId="69963BCD" w14:textId="1EC5E203" w:rsidR="00816196" w:rsidRPr="004D6136" w:rsidRDefault="00811DCB"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20.</w:t>
            </w:r>
            <w:r w:rsidR="00816196" w:rsidRPr="004D6136">
              <w:rPr>
                <w:rFonts w:ascii="Times New Roman" w:hAnsi="Times New Roman" w:cs="Times New Roman"/>
                <w:bCs/>
                <w:color w:val="000000" w:themeColor="text1"/>
                <w:lang w:val="ro-MD"/>
              </w:rPr>
              <w:t xml:space="preserve"> </w:t>
            </w:r>
            <w:r w:rsidRPr="004D6136">
              <w:rPr>
                <w:rFonts w:ascii="Times New Roman" w:hAnsi="Times New Roman" w:cs="Times New Roman"/>
                <w:bCs/>
                <w:color w:val="000000" w:themeColor="text1"/>
                <w:lang w:val="ro-MD"/>
              </w:rPr>
              <w:t xml:space="preserve">Băncile </w:t>
            </w:r>
            <w:r w:rsidR="00816196" w:rsidRPr="004D6136">
              <w:rPr>
                <w:rFonts w:ascii="Times New Roman" w:hAnsi="Times New Roman" w:cs="Times New Roman"/>
                <w:bCs/>
                <w:color w:val="000000" w:themeColor="text1"/>
                <w:lang w:val="ro-MD"/>
              </w:rPr>
              <w:t xml:space="preserve">nu exclud expunerile din </w:t>
            </w:r>
            <w:proofErr w:type="spellStart"/>
            <w:r w:rsidR="00816196" w:rsidRPr="004D6136">
              <w:rPr>
                <w:rFonts w:ascii="Times New Roman" w:hAnsi="Times New Roman" w:cs="Times New Roman"/>
                <w:bCs/>
                <w:color w:val="000000" w:themeColor="text1"/>
                <w:lang w:val="ro-MD"/>
              </w:rPr>
              <w:t>tranzacţii</w:t>
            </w:r>
            <w:proofErr w:type="spellEnd"/>
            <w:r w:rsidR="00816196" w:rsidRPr="004D6136">
              <w:rPr>
                <w:rFonts w:ascii="Times New Roman" w:hAnsi="Times New Roman" w:cs="Times New Roman"/>
                <w:bCs/>
                <w:color w:val="000000" w:themeColor="text1"/>
                <w:lang w:val="ro-MD"/>
              </w:rPr>
              <w:t xml:space="preserve"> prevăzute la </w:t>
            </w:r>
            <w:r w:rsidRPr="004D6136">
              <w:rPr>
                <w:rFonts w:ascii="Times New Roman" w:hAnsi="Times New Roman" w:cs="Times New Roman"/>
                <w:bCs/>
                <w:color w:val="000000" w:themeColor="text1"/>
                <w:lang w:val="ro-RO"/>
              </w:rPr>
              <w:t>la subpct.19.</w:t>
            </w:r>
            <w:r w:rsidR="009061C5" w:rsidRPr="004D6136">
              <w:rPr>
                <w:rFonts w:ascii="Times New Roman" w:hAnsi="Times New Roman" w:cs="Times New Roman"/>
                <w:bCs/>
                <w:color w:val="000000" w:themeColor="text1"/>
                <w:lang w:val="ro-RO"/>
              </w:rPr>
              <w:t>4</w:t>
            </w:r>
            <w:r w:rsidRPr="004D6136">
              <w:rPr>
                <w:rFonts w:ascii="Times New Roman" w:hAnsi="Times New Roman" w:cs="Times New Roman"/>
                <w:bCs/>
                <w:color w:val="000000" w:themeColor="text1"/>
                <w:lang w:val="ro-RO"/>
              </w:rPr>
              <w:t xml:space="preserve"> și 19.</w:t>
            </w:r>
            <w:r w:rsidR="009061C5" w:rsidRPr="004D6136">
              <w:rPr>
                <w:rFonts w:ascii="Times New Roman" w:hAnsi="Times New Roman" w:cs="Times New Roman"/>
                <w:bCs/>
                <w:color w:val="000000" w:themeColor="text1"/>
                <w:lang w:val="ro-RO"/>
              </w:rPr>
              <w:t>5</w:t>
            </w:r>
            <w:r w:rsidRPr="004D6136">
              <w:rPr>
                <w:rFonts w:ascii="Times New Roman" w:hAnsi="Times New Roman" w:cs="Times New Roman"/>
                <w:bCs/>
                <w:color w:val="000000" w:themeColor="text1"/>
                <w:lang w:val="ro-RO"/>
              </w:rPr>
              <w:t xml:space="preserve"> </w:t>
            </w:r>
            <w:r w:rsidR="00816196" w:rsidRPr="004D6136">
              <w:rPr>
                <w:rFonts w:ascii="Times New Roman" w:hAnsi="Times New Roman" w:cs="Times New Roman"/>
                <w:bCs/>
                <w:color w:val="000000" w:themeColor="text1"/>
                <w:lang w:val="ro-MD"/>
              </w:rPr>
              <w:t xml:space="preserve">dacă nu este îndeplinită </w:t>
            </w:r>
            <w:proofErr w:type="spellStart"/>
            <w:r w:rsidR="00816196" w:rsidRPr="004D6136">
              <w:rPr>
                <w:rFonts w:ascii="Times New Roman" w:hAnsi="Times New Roman" w:cs="Times New Roman"/>
                <w:bCs/>
                <w:color w:val="000000" w:themeColor="text1"/>
                <w:lang w:val="ro-MD"/>
              </w:rPr>
              <w:t>condiţia</w:t>
            </w:r>
            <w:proofErr w:type="spellEnd"/>
            <w:r w:rsidR="00816196" w:rsidRPr="004D6136">
              <w:rPr>
                <w:rFonts w:ascii="Times New Roman" w:hAnsi="Times New Roman" w:cs="Times New Roman"/>
                <w:bCs/>
                <w:color w:val="000000" w:themeColor="text1"/>
                <w:lang w:val="ro-MD"/>
              </w:rPr>
              <w:t xml:space="preserve"> prevăzută la </w:t>
            </w:r>
            <w:r w:rsidRPr="004D6136">
              <w:rPr>
                <w:rFonts w:ascii="Times New Roman" w:hAnsi="Times New Roman" w:cs="Times New Roman"/>
                <w:bCs/>
                <w:color w:val="000000" w:themeColor="text1"/>
                <w:lang w:val="ro-MD"/>
              </w:rPr>
              <w:t>pct.14</w:t>
            </w:r>
            <w:r w:rsidR="00816196" w:rsidRPr="004D6136">
              <w:rPr>
                <w:rFonts w:ascii="Times New Roman" w:hAnsi="Times New Roman" w:cs="Times New Roman"/>
                <w:bCs/>
                <w:color w:val="000000" w:themeColor="text1"/>
                <w:lang w:val="ro-MD"/>
              </w:rPr>
              <w:t>.</w:t>
            </w:r>
          </w:p>
        </w:tc>
        <w:tc>
          <w:tcPr>
            <w:tcW w:w="585" w:type="pct"/>
          </w:tcPr>
          <w:p w14:paraId="4381123F" w14:textId="7C6FDDCE" w:rsidR="00816196" w:rsidRPr="004D6136" w:rsidRDefault="00811DCB" w:rsidP="00816196">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compatibil</w:t>
            </w:r>
          </w:p>
        </w:tc>
        <w:tc>
          <w:tcPr>
            <w:tcW w:w="1261" w:type="pct"/>
          </w:tcPr>
          <w:p w14:paraId="49A5CE82" w14:textId="576A4FB6" w:rsidR="00816196" w:rsidRPr="004D6136" w:rsidRDefault="00816196" w:rsidP="00816196">
            <w:pPr>
              <w:spacing w:line="276" w:lineRule="auto"/>
              <w:jc w:val="both"/>
              <w:rPr>
                <w:rFonts w:ascii="Times New Roman" w:hAnsi="Times New Roman" w:cs="Times New Roman"/>
                <w:bCs/>
                <w:color w:val="000000" w:themeColor="text1"/>
                <w:lang w:val="ro-MD"/>
              </w:rPr>
            </w:pPr>
          </w:p>
        </w:tc>
      </w:tr>
      <w:tr w:rsidR="00816196" w:rsidRPr="004D6136" w14:paraId="0356F5E2" w14:textId="77777777" w:rsidTr="000F0E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21926BE7" w14:textId="38678E5C"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(5) </w:t>
            </w:r>
            <w:r w:rsidRPr="004D6136">
              <w:rPr>
                <w:rFonts w:ascii="Times New Roman" w:hAnsi="Times New Roman" w:cs="Times New Roman"/>
                <w:b/>
                <w:color w:val="000000" w:themeColor="text1"/>
                <w:lang w:val="ro-MD"/>
              </w:rPr>
              <w:t>►M11</w:t>
            </w:r>
            <w:r w:rsidRPr="004D6136">
              <w:rPr>
                <w:rFonts w:ascii="Times New Roman" w:hAnsi="Times New Roman" w:cs="Times New Roman"/>
                <w:bCs/>
                <w:color w:val="000000" w:themeColor="text1"/>
                <w:lang w:val="ro-MD"/>
              </w:rPr>
              <w:t xml:space="preserve"> </w:t>
            </w:r>
            <w:proofErr w:type="spellStart"/>
            <w:r w:rsidRPr="004D6136">
              <w:rPr>
                <w:rFonts w:ascii="Times New Roman" w:hAnsi="Times New Roman" w:cs="Times New Roman"/>
                <w:bCs/>
                <w:color w:val="000000" w:themeColor="text1"/>
                <w:lang w:val="ro-MD"/>
              </w:rPr>
              <w:t>Instituţiile</w:t>
            </w:r>
            <w:proofErr w:type="spellEnd"/>
            <w:r w:rsidRPr="004D6136">
              <w:rPr>
                <w:rFonts w:ascii="Times New Roman" w:hAnsi="Times New Roman" w:cs="Times New Roman"/>
                <w:bCs/>
                <w:color w:val="000000" w:themeColor="text1"/>
                <w:lang w:val="ro-MD"/>
              </w:rPr>
              <w:t xml:space="preserve"> pot exclude expunerile enumerate la alineatul (1) litera (n) dacă sunt îndeplinite cumulativ următoarele </w:t>
            </w:r>
            <w:proofErr w:type="spellStart"/>
            <w:r w:rsidRPr="004D6136">
              <w:rPr>
                <w:rFonts w:ascii="Times New Roman" w:hAnsi="Times New Roman" w:cs="Times New Roman"/>
                <w:bCs/>
                <w:color w:val="000000" w:themeColor="text1"/>
                <w:lang w:val="ro-MD"/>
              </w:rPr>
              <w:t>condiţii</w:t>
            </w:r>
            <w:proofErr w:type="spellEnd"/>
            <w:r w:rsidRPr="004D6136">
              <w:rPr>
                <w:rFonts w:ascii="Times New Roman" w:hAnsi="Times New Roman" w:cs="Times New Roman"/>
                <w:bCs/>
                <w:color w:val="000000" w:themeColor="text1"/>
                <w:lang w:val="ro-MD"/>
              </w:rPr>
              <w:t>: ◄</w:t>
            </w:r>
          </w:p>
          <w:p w14:paraId="32DC51A1" w14:textId="7E7E8761"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(a) autoritatea competentă a </w:t>
            </w:r>
            <w:proofErr w:type="spellStart"/>
            <w:r w:rsidRPr="004D6136">
              <w:rPr>
                <w:rFonts w:ascii="Times New Roman" w:hAnsi="Times New Roman" w:cs="Times New Roman"/>
                <w:bCs/>
                <w:color w:val="000000" w:themeColor="text1"/>
                <w:lang w:val="ro-MD"/>
              </w:rPr>
              <w:t>instituţiei</w:t>
            </w:r>
            <w:proofErr w:type="spellEnd"/>
            <w:r w:rsidRPr="004D6136">
              <w:rPr>
                <w:rFonts w:ascii="Times New Roman" w:hAnsi="Times New Roman" w:cs="Times New Roman"/>
                <w:bCs/>
                <w:color w:val="000000" w:themeColor="text1"/>
                <w:lang w:val="ro-MD"/>
              </w:rPr>
              <w:t xml:space="preserve"> a stabilit, după consultarea băncii centrale relevante, și a declarat public că există </w:t>
            </w:r>
            <w:proofErr w:type="spellStart"/>
            <w:r w:rsidRPr="004D6136">
              <w:rPr>
                <w:rFonts w:ascii="Times New Roman" w:hAnsi="Times New Roman" w:cs="Times New Roman"/>
                <w:bCs/>
                <w:color w:val="000000" w:themeColor="text1"/>
                <w:lang w:val="ro-MD"/>
              </w:rPr>
              <w:t>circumstanţe</w:t>
            </w:r>
            <w:proofErr w:type="spellEnd"/>
            <w:r w:rsidRPr="004D6136">
              <w:rPr>
                <w:rFonts w:ascii="Times New Roman" w:hAnsi="Times New Roman" w:cs="Times New Roman"/>
                <w:bCs/>
                <w:color w:val="000000" w:themeColor="text1"/>
                <w:lang w:val="ro-MD"/>
              </w:rPr>
              <w:t xml:space="preserve"> </w:t>
            </w:r>
            <w:proofErr w:type="spellStart"/>
            <w:r w:rsidRPr="004D6136">
              <w:rPr>
                <w:rFonts w:ascii="Times New Roman" w:hAnsi="Times New Roman" w:cs="Times New Roman"/>
                <w:bCs/>
                <w:color w:val="000000" w:themeColor="text1"/>
                <w:lang w:val="ro-MD"/>
              </w:rPr>
              <w:t>excepţionale</w:t>
            </w:r>
            <w:proofErr w:type="spellEnd"/>
            <w:r w:rsidRPr="004D6136">
              <w:rPr>
                <w:rFonts w:ascii="Times New Roman" w:hAnsi="Times New Roman" w:cs="Times New Roman"/>
                <w:bCs/>
                <w:color w:val="000000" w:themeColor="text1"/>
                <w:lang w:val="ro-MD"/>
              </w:rPr>
              <w:t xml:space="preserve"> care justifică excluderea acestora pentru a facilita punerea în aplicare a politicilor monetare;</w:t>
            </w:r>
          </w:p>
          <w:p w14:paraId="7A2D9608" w14:textId="7E1B88EF"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(b) derogarea se acordă pentru o perioadă limitată de timp care nu depășește un an;</w:t>
            </w:r>
          </w:p>
          <w:p w14:paraId="41E1983C" w14:textId="77777777" w:rsidR="00816196" w:rsidRPr="004D6136" w:rsidRDefault="00816196" w:rsidP="00816196">
            <w:pPr>
              <w:spacing w:after="0" w:line="276" w:lineRule="auto"/>
              <w:jc w:val="both"/>
              <w:rPr>
                <w:rFonts w:ascii="Times New Roman" w:hAnsi="Times New Roman" w:cs="Times New Roman"/>
                <w:b/>
                <w:color w:val="000000" w:themeColor="text1"/>
                <w:lang w:val="ro-MD"/>
              </w:rPr>
            </w:pPr>
            <w:r w:rsidRPr="004D6136">
              <w:rPr>
                <w:rFonts w:ascii="Times New Roman" w:hAnsi="Times New Roman" w:cs="Times New Roman"/>
                <w:b/>
                <w:color w:val="000000" w:themeColor="text1"/>
                <w:lang w:val="ro-MD"/>
              </w:rPr>
              <w:t>▼M11</w:t>
            </w:r>
          </w:p>
          <w:p w14:paraId="43BDBD89" w14:textId="6C07B743"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(c) autoritatea competentă a </w:t>
            </w:r>
            <w:proofErr w:type="spellStart"/>
            <w:r w:rsidRPr="004D6136">
              <w:rPr>
                <w:rFonts w:ascii="Times New Roman" w:hAnsi="Times New Roman" w:cs="Times New Roman"/>
                <w:bCs/>
                <w:color w:val="000000" w:themeColor="text1"/>
                <w:lang w:val="ro-MD"/>
              </w:rPr>
              <w:t>instituţiei</w:t>
            </w:r>
            <w:proofErr w:type="spellEnd"/>
            <w:r w:rsidRPr="004D6136">
              <w:rPr>
                <w:rFonts w:ascii="Times New Roman" w:hAnsi="Times New Roman" w:cs="Times New Roman"/>
                <w:bCs/>
                <w:color w:val="000000" w:themeColor="text1"/>
                <w:lang w:val="ro-MD"/>
              </w:rPr>
              <w:t xml:space="preserve"> a stabilit, după consultarea băncii centrale relevante, data la care se consideră că au început </w:t>
            </w:r>
            <w:proofErr w:type="spellStart"/>
            <w:r w:rsidRPr="004D6136">
              <w:rPr>
                <w:rFonts w:ascii="Times New Roman" w:hAnsi="Times New Roman" w:cs="Times New Roman"/>
                <w:bCs/>
                <w:color w:val="000000" w:themeColor="text1"/>
                <w:lang w:val="ro-MD"/>
              </w:rPr>
              <w:t>circumstanţele</w:t>
            </w:r>
            <w:proofErr w:type="spellEnd"/>
            <w:r w:rsidRPr="004D6136">
              <w:rPr>
                <w:rFonts w:ascii="Times New Roman" w:hAnsi="Times New Roman" w:cs="Times New Roman"/>
                <w:bCs/>
                <w:color w:val="000000" w:themeColor="text1"/>
                <w:lang w:val="ro-MD"/>
              </w:rPr>
              <w:t xml:space="preserve"> </w:t>
            </w:r>
            <w:proofErr w:type="spellStart"/>
            <w:r w:rsidRPr="004D6136">
              <w:rPr>
                <w:rFonts w:ascii="Times New Roman" w:hAnsi="Times New Roman" w:cs="Times New Roman"/>
                <w:bCs/>
                <w:color w:val="000000" w:themeColor="text1"/>
                <w:lang w:val="ro-MD"/>
              </w:rPr>
              <w:t>excepţionale</w:t>
            </w:r>
            <w:proofErr w:type="spellEnd"/>
            <w:r w:rsidRPr="004D6136">
              <w:rPr>
                <w:rFonts w:ascii="Times New Roman" w:hAnsi="Times New Roman" w:cs="Times New Roman"/>
                <w:bCs/>
                <w:color w:val="000000" w:themeColor="text1"/>
                <w:lang w:val="ro-MD"/>
              </w:rPr>
              <w:t xml:space="preserve"> și a </w:t>
            </w:r>
            <w:proofErr w:type="spellStart"/>
            <w:r w:rsidRPr="004D6136">
              <w:rPr>
                <w:rFonts w:ascii="Times New Roman" w:hAnsi="Times New Roman" w:cs="Times New Roman"/>
                <w:bCs/>
                <w:color w:val="000000" w:themeColor="text1"/>
                <w:lang w:val="ro-MD"/>
              </w:rPr>
              <w:t>anunţat</w:t>
            </w:r>
            <w:proofErr w:type="spellEnd"/>
            <w:r w:rsidRPr="004D6136">
              <w:rPr>
                <w:rFonts w:ascii="Times New Roman" w:hAnsi="Times New Roman" w:cs="Times New Roman"/>
                <w:bCs/>
                <w:color w:val="000000" w:themeColor="text1"/>
                <w:lang w:val="ro-MD"/>
              </w:rPr>
              <w:t xml:space="preserve"> public data respectivă; data respectivă se stabilește la sfârșitul unui trimestru.</w:t>
            </w:r>
          </w:p>
        </w:tc>
        <w:tc>
          <w:tcPr>
            <w:tcW w:w="1557" w:type="pct"/>
            <w:shd w:val="clear" w:color="auto" w:fill="auto"/>
          </w:tcPr>
          <w:p w14:paraId="0C5F42D1" w14:textId="4635F362" w:rsidR="00816196" w:rsidRPr="004D6136" w:rsidRDefault="006B3E23"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2</w:t>
            </w:r>
            <w:r w:rsidR="00811DCB" w:rsidRPr="004D6136">
              <w:rPr>
                <w:rFonts w:ascii="Times New Roman" w:hAnsi="Times New Roman" w:cs="Times New Roman"/>
                <w:bCs/>
                <w:color w:val="000000" w:themeColor="text1"/>
                <w:lang w:val="ro-MD"/>
              </w:rPr>
              <w:t>1</w:t>
            </w:r>
            <w:r w:rsidR="00816196" w:rsidRPr="004D6136">
              <w:rPr>
                <w:rFonts w:ascii="Times New Roman" w:hAnsi="Times New Roman" w:cs="Times New Roman"/>
                <w:bCs/>
                <w:color w:val="000000" w:themeColor="text1"/>
                <w:lang w:val="ro-MD"/>
              </w:rPr>
              <w:t>.  Băncile pot exclude expunerile enumerate la subpct.1</w:t>
            </w:r>
            <w:r w:rsidRPr="004D6136">
              <w:rPr>
                <w:rFonts w:ascii="Times New Roman" w:hAnsi="Times New Roman" w:cs="Times New Roman"/>
                <w:bCs/>
                <w:color w:val="000000" w:themeColor="text1"/>
                <w:lang w:val="ro-MD"/>
              </w:rPr>
              <w:t>9</w:t>
            </w:r>
            <w:r w:rsidR="00020CC4" w:rsidRPr="004D6136">
              <w:rPr>
                <w:rFonts w:ascii="Times New Roman" w:hAnsi="Times New Roman" w:cs="Times New Roman"/>
                <w:bCs/>
                <w:color w:val="000000" w:themeColor="text1"/>
                <w:lang w:val="ro-MD"/>
              </w:rPr>
              <w:t>.</w:t>
            </w:r>
            <w:r w:rsidR="009061C5" w:rsidRPr="004D6136">
              <w:rPr>
                <w:rFonts w:ascii="Times New Roman" w:hAnsi="Times New Roman" w:cs="Times New Roman"/>
                <w:bCs/>
                <w:color w:val="000000" w:themeColor="text1"/>
                <w:lang w:val="ro-MD"/>
              </w:rPr>
              <w:t>10</w:t>
            </w:r>
            <w:r w:rsidR="00816196" w:rsidRPr="004D6136">
              <w:rPr>
                <w:rFonts w:ascii="Times New Roman" w:hAnsi="Times New Roman" w:cs="Times New Roman"/>
                <w:bCs/>
                <w:color w:val="000000" w:themeColor="text1"/>
                <w:lang w:val="ro-MD"/>
              </w:rPr>
              <w:t xml:space="preserve"> dacă sunt îndeplinite cumulativ următoarele </w:t>
            </w:r>
            <w:proofErr w:type="spellStart"/>
            <w:r w:rsidR="00816196" w:rsidRPr="004D6136">
              <w:rPr>
                <w:rFonts w:ascii="Times New Roman" w:hAnsi="Times New Roman" w:cs="Times New Roman"/>
                <w:bCs/>
                <w:color w:val="000000" w:themeColor="text1"/>
                <w:lang w:val="ro-MD"/>
              </w:rPr>
              <w:t>condiţii</w:t>
            </w:r>
            <w:proofErr w:type="spellEnd"/>
            <w:r w:rsidR="00816196" w:rsidRPr="004D6136">
              <w:rPr>
                <w:rFonts w:ascii="Times New Roman" w:hAnsi="Times New Roman" w:cs="Times New Roman"/>
                <w:bCs/>
                <w:color w:val="000000" w:themeColor="text1"/>
                <w:lang w:val="ro-MD"/>
              </w:rPr>
              <w:t xml:space="preserve">: </w:t>
            </w:r>
          </w:p>
          <w:p w14:paraId="3D92FA9B" w14:textId="29094158" w:rsidR="00816196" w:rsidRPr="004D6136" w:rsidRDefault="006B3E23"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2</w:t>
            </w:r>
            <w:r w:rsidR="00811DCB" w:rsidRPr="004D6136">
              <w:rPr>
                <w:rFonts w:ascii="Times New Roman" w:hAnsi="Times New Roman" w:cs="Times New Roman"/>
                <w:bCs/>
                <w:color w:val="000000" w:themeColor="text1"/>
                <w:lang w:val="ro-MD"/>
              </w:rPr>
              <w:t>1</w:t>
            </w:r>
            <w:r w:rsidR="00816196" w:rsidRPr="004D6136">
              <w:rPr>
                <w:rFonts w:ascii="Times New Roman" w:hAnsi="Times New Roman" w:cs="Times New Roman"/>
                <w:bCs/>
                <w:color w:val="000000" w:themeColor="text1"/>
                <w:lang w:val="ro-MD"/>
              </w:rPr>
              <w:t xml:space="preserve">.1. </w:t>
            </w:r>
            <w:r w:rsidR="00426378" w:rsidRPr="004D6136">
              <w:rPr>
                <w:rFonts w:ascii="Times New Roman" w:hAnsi="Times New Roman" w:cs="Times New Roman"/>
                <w:bCs/>
                <w:color w:val="000000" w:themeColor="text1"/>
                <w:lang w:val="ro-MD"/>
              </w:rPr>
              <w:t>BNM</w:t>
            </w:r>
            <w:r w:rsidR="00816196" w:rsidRPr="004D6136">
              <w:rPr>
                <w:rFonts w:ascii="Times New Roman" w:hAnsi="Times New Roman" w:cs="Times New Roman"/>
                <w:bCs/>
                <w:color w:val="000000" w:themeColor="text1"/>
                <w:lang w:val="ro-MD"/>
              </w:rPr>
              <w:t xml:space="preserve"> a stabilit  și a declarat public că există </w:t>
            </w:r>
            <w:proofErr w:type="spellStart"/>
            <w:r w:rsidR="00816196" w:rsidRPr="004D6136">
              <w:rPr>
                <w:rFonts w:ascii="Times New Roman" w:hAnsi="Times New Roman" w:cs="Times New Roman"/>
                <w:bCs/>
                <w:color w:val="000000" w:themeColor="text1"/>
                <w:lang w:val="ro-MD"/>
              </w:rPr>
              <w:t>circumstanţe</w:t>
            </w:r>
            <w:proofErr w:type="spellEnd"/>
            <w:r w:rsidR="00816196" w:rsidRPr="004D6136">
              <w:rPr>
                <w:rFonts w:ascii="Times New Roman" w:hAnsi="Times New Roman" w:cs="Times New Roman"/>
                <w:bCs/>
                <w:color w:val="000000" w:themeColor="text1"/>
                <w:lang w:val="ro-MD"/>
              </w:rPr>
              <w:t xml:space="preserve"> </w:t>
            </w:r>
            <w:proofErr w:type="spellStart"/>
            <w:r w:rsidR="00816196" w:rsidRPr="004D6136">
              <w:rPr>
                <w:rFonts w:ascii="Times New Roman" w:hAnsi="Times New Roman" w:cs="Times New Roman"/>
                <w:bCs/>
                <w:color w:val="000000" w:themeColor="text1"/>
                <w:lang w:val="ro-MD"/>
              </w:rPr>
              <w:t>excepţionale</w:t>
            </w:r>
            <w:proofErr w:type="spellEnd"/>
            <w:r w:rsidR="00816196" w:rsidRPr="004D6136">
              <w:rPr>
                <w:rFonts w:ascii="Times New Roman" w:hAnsi="Times New Roman" w:cs="Times New Roman"/>
                <w:bCs/>
                <w:color w:val="000000" w:themeColor="text1"/>
                <w:lang w:val="ro-MD"/>
              </w:rPr>
              <w:t xml:space="preserve"> care justifică excluderea acestora pentru a facilita punerea în aplicare a politici</w:t>
            </w:r>
            <w:r w:rsidR="00BD2CA2" w:rsidRPr="004D6136">
              <w:rPr>
                <w:rFonts w:ascii="Times New Roman" w:hAnsi="Times New Roman" w:cs="Times New Roman"/>
                <w:bCs/>
                <w:color w:val="000000" w:themeColor="text1"/>
                <w:lang w:val="ro-MD"/>
              </w:rPr>
              <w:t>i</w:t>
            </w:r>
            <w:r w:rsidR="00816196" w:rsidRPr="004D6136">
              <w:rPr>
                <w:rFonts w:ascii="Times New Roman" w:hAnsi="Times New Roman" w:cs="Times New Roman"/>
                <w:bCs/>
                <w:color w:val="000000" w:themeColor="text1"/>
                <w:lang w:val="ro-MD"/>
              </w:rPr>
              <w:t xml:space="preserve"> monetare;</w:t>
            </w:r>
          </w:p>
          <w:p w14:paraId="4AA4EC5E" w14:textId="614C0D10" w:rsidR="00816196" w:rsidRPr="004D6136" w:rsidRDefault="006B3E23"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2</w:t>
            </w:r>
            <w:r w:rsidR="00811DCB" w:rsidRPr="004D6136">
              <w:rPr>
                <w:rFonts w:ascii="Times New Roman" w:hAnsi="Times New Roman" w:cs="Times New Roman"/>
                <w:bCs/>
                <w:color w:val="000000" w:themeColor="text1"/>
                <w:lang w:val="ro-MD"/>
              </w:rPr>
              <w:t>1</w:t>
            </w:r>
            <w:r w:rsidR="00816196" w:rsidRPr="004D6136">
              <w:rPr>
                <w:rFonts w:ascii="Times New Roman" w:hAnsi="Times New Roman" w:cs="Times New Roman"/>
                <w:bCs/>
                <w:color w:val="000000" w:themeColor="text1"/>
                <w:lang w:val="ro-MD"/>
              </w:rPr>
              <w:t>.2. derogarea se acordă pentru o perioadă limitată de timp care nu depășește un an;</w:t>
            </w:r>
          </w:p>
          <w:p w14:paraId="611D1C71" w14:textId="3A3AF37C" w:rsidR="00816196" w:rsidRPr="004D6136" w:rsidRDefault="00811DCB"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21</w:t>
            </w:r>
            <w:r w:rsidR="00816196" w:rsidRPr="004D6136">
              <w:rPr>
                <w:rFonts w:ascii="Times New Roman" w:hAnsi="Times New Roman" w:cs="Times New Roman"/>
                <w:bCs/>
                <w:color w:val="000000" w:themeColor="text1"/>
                <w:lang w:val="ro-MD"/>
              </w:rPr>
              <w:t xml:space="preserve">.3. </w:t>
            </w:r>
            <w:r w:rsidR="00426378" w:rsidRPr="004D6136">
              <w:rPr>
                <w:rFonts w:ascii="Times New Roman" w:hAnsi="Times New Roman" w:cs="Times New Roman"/>
                <w:bCs/>
                <w:color w:val="000000" w:themeColor="text1"/>
                <w:lang w:val="ro-MD"/>
              </w:rPr>
              <w:t>BNM</w:t>
            </w:r>
            <w:r w:rsidR="00816196" w:rsidRPr="004D6136">
              <w:rPr>
                <w:rFonts w:ascii="Times New Roman" w:hAnsi="Times New Roman" w:cs="Times New Roman"/>
                <w:bCs/>
                <w:color w:val="000000" w:themeColor="text1"/>
                <w:lang w:val="ro-MD"/>
              </w:rPr>
              <w:t xml:space="preserve"> a stabilit  data la care se consideră că au început </w:t>
            </w:r>
            <w:proofErr w:type="spellStart"/>
            <w:r w:rsidR="00816196" w:rsidRPr="004D6136">
              <w:rPr>
                <w:rFonts w:ascii="Times New Roman" w:hAnsi="Times New Roman" w:cs="Times New Roman"/>
                <w:bCs/>
                <w:color w:val="000000" w:themeColor="text1"/>
                <w:lang w:val="ro-MD"/>
              </w:rPr>
              <w:t>circumstanţele</w:t>
            </w:r>
            <w:proofErr w:type="spellEnd"/>
            <w:r w:rsidR="00816196" w:rsidRPr="004D6136">
              <w:rPr>
                <w:rFonts w:ascii="Times New Roman" w:hAnsi="Times New Roman" w:cs="Times New Roman"/>
                <w:bCs/>
                <w:color w:val="000000" w:themeColor="text1"/>
                <w:lang w:val="ro-MD"/>
              </w:rPr>
              <w:t xml:space="preserve"> </w:t>
            </w:r>
            <w:proofErr w:type="spellStart"/>
            <w:r w:rsidR="00816196" w:rsidRPr="004D6136">
              <w:rPr>
                <w:rFonts w:ascii="Times New Roman" w:hAnsi="Times New Roman" w:cs="Times New Roman"/>
                <w:bCs/>
                <w:color w:val="000000" w:themeColor="text1"/>
                <w:lang w:val="ro-MD"/>
              </w:rPr>
              <w:t>excepţionale</w:t>
            </w:r>
            <w:proofErr w:type="spellEnd"/>
            <w:r w:rsidR="00816196" w:rsidRPr="004D6136">
              <w:rPr>
                <w:rFonts w:ascii="Times New Roman" w:hAnsi="Times New Roman" w:cs="Times New Roman"/>
                <w:bCs/>
                <w:color w:val="000000" w:themeColor="text1"/>
                <w:lang w:val="ro-MD"/>
              </w:rPr>
              <w:t xml:space="preserve"> și a </w:t>
            </w:r>
            <w:proofErr w:type="spellStart"/>
            <w:r w:rsidR="00816196" w:rsidRPr="004D6136">
              <w:rPr>
                <w:rFonts w:ascii="Times New Roman" w:hAnsi="Times New Roman" w:cs="Times New Roman"/>
                <w:bCs/>
                <w:color w:val="000000" w:themeColor="text1"/>
                <w:lang w:val="ro-MD"/>
              </w:rPr>
              <w:t>anunţat</w:t>
            </w:r>
            <w:proofErr w:type="spellEnd"/>
            <w:r w:rsidR="00816196" w:rsidRPr="004D6136">
              <w:rPr>
                <w:rFonts w:ascii="Times New Roman" w:hAnsi="Times New Roman" w:cs="Times New Roman"/>
                <w:bCs/>
                <w:color w:val="000000" w:themeColor="text1"/>
                <w:lang w:val="ro-MD"/>
              </w:rPr>
              <w:t xml:space="preserve"> public data respectivă; data respectivă se stabilește la sfârșitul unui trimestru.</w:t>
            </w:r>
          </w:p>
        </w:tc>
        <w:tc>
          <w:tcPr>
            <w:tcW w:w="585" w:type="pct"/>
          </w:tcPr>
          <w:p w14:paraId="34D8F591" w14:textId="35C4265D" w:rsidR="00816196" w:rsidRPr="004D6136" w:rsidRDefault="00426378" w:rsidP="00816196">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compatibil</w:t>
            </w:r>
          </w:p>
        </w:tc>
        <w:tc>
          <w:tcPr>
            <w:tcW w:w="1261" w:type="pct"/>
          </w:tcPr>
          <w:p w14:paraId="02517F57" w14:textId="77777777" w:rsidR="00816196" w:rsidRPr="004D6136" w:rsidRDefault="00816196" w:rsidP="00816196">
            <w:pPr>
              <w:spacing w:line="276" w:lineRule="auto"/>
              <w:jc w:val="both"/>
              <w:rPr>
                <w:rFonts w:ascii="Times New Roman" w:hAnsi="Times New Roman" w:cs="Times New Roman"/>
                <w:bCs/>
                <w:color w:val="000000" w:themeColor="text1"/>
                <w:lang w:val="ro-MD"/>
              </w:rPr>
            </w:pPr>
          </w:p>
        </w:tc>
      </w:tr>
      <w:tr w:rsidR="00816196" w:rsidRPr="004D6136" w14:paraId="52C47148" w14:textId="77777777" w:rsidTr="000F0E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416E41E9" w14:textId="77777777" w:rsidR="00816196" w:rsidRPr="004D6136" w:rsidRDefault="00816196" w:rsidP="00816196">
            <w:pPr>
              <w:spacing w:after="0" w:line="276" w:lineRule="auto"/>
              <w:jc w:val="both"/>
              <w:rPr>
                <w:rFonts w:ascii="Times New Roman" w:hAnsi="Times New Roman" w:cs="Times New Roman"/>
                <w:b/>
                <w:color w:val="000000" w:themeColor="text1"/>
                <w:lang w:val="ro-MD"/>
              </w:rPr>
            </w:pPr>
            <w:r w:rsidRPr="004D6136">
              <w:rPr>
                <w:rFonts w:ascii="Times New Roman" w:hAnsi="Times New Roman" w:cs="Times New Roman"/>
                <w:b/>
                <w:color w:val="000000" w:themeColor="text1"/>
                <w:lang w:val="ro-MD"/>
              </w:rPr>
              <w:t>▼M8</w:t>
            </w:r>
          </w:p>
          <w:p w14:paraId="58F70E82" w14:textId="05FB19FC"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(6) Expunerile care urmează să fie excluse în sensul alineatului (1) litera (n) îndeplinesc cumulativ următoarele două </w:t>
            </w:r>
            <w:proofErr w:type="spellStart"/>
            <w:r w:rsidRPr="004D6136">
              <w:rPr>
                <w:rFonts w:ascii="Times New Roman" w:hAnsi="Times New Roman" w:cs="Times New Roman"/>
                <w:bCs/>
                <w:color w:val="000000" w:themeColor="text1"/>
                <w:lang w:val="ro-MD"/>
              </w:rPr>
              <w:t>condiţii</w:t>
            </w:r>
            <w:proofErr w:type="spellEnd"/>
            <w:r w:rsidRPr="004D6136">
              <w:rPr>
                <w:rFonts w:ascii="Times New Roman" w:hAnsi="Times New Roman" w:cs="Times New Roman"/>
                <w:bCs/>
                <w:color w:val="000000" w:themeColor="text1"/>
                <w:lang w:val="ro-MD"/>
              </w:rPr>
              <w:t>:</w:t>
            </w:r>
          </w:p>
          <w:p w14:paraId="18F4794E" w14:textId="77777777"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(a) sunt exprimate în aceeași monedă ca depozitele atrase de </w:t>
            </w:r>
            <w:proofErr w:type="spellStart"/>
            <w:r w:rsidRPr="004D6136">
              <w:rPr>
                <w:rFonts w:ascii="Times New Roman" w:hAnsi="Times New Roman" w:cs="Times New Roman"/>
                <w:bCs/>
                <w:color w:val="000000" w:themeColor="text1"/>
                <w:lang w:val="ro-MD"/>
              </w:rPr>
              <w:t>instituţie</w:t>
            </w:r>
            <w:proofErr w:type="spellEnd"/>
            <w:r w:rsidRPr="004D6136">
              <w:rPr>
                <w:rFonts w:ascii="Times New Roman" w:hAnsi="Times New Roman" w:cs="Times New Roman"/>
                <w:bCs/>
                <w:color w:val="000000" w:themeColor="text1"/>
                <w:lang w:val="ro-MD"/>
              </w:rPr>
              <w:t>;</w:t>
            </w:r>
          </w:p>
          <w:p w14:paraId="77318E97" w14:textId="1312C7E0"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(b) </w:t>
            </w:r>
            <w:proofErr w:type="spellStart"/>
            <w:r w:rsidRPr="004D6136">
              <w:rPr>
                <w:rFonts w:ascii="Times New Roman" w:hAnsi="Times New Roman" w:cs="Times New Roman"/>
                <w:bCs/>
                <w:color w:val="000000" w:themeColor="text1"/>
                <w:lang w:val="ro-MD"/>
              </w:rPr>
              <w:t>scadenţa</w:t>
            </w:r>
            <w:proofErr w:type="spellEnd"/>
            <w:r w:rsidRPr="004D6136">
              <w:rPr>
                <w:rFonts w:ascii="Times New Roman" w:hAnsi="Times New Roman" w:cs="Times New Roman"/>
                <w:bCs/>
                <w:color w:val="000000" w:themeColor="text1"/>
                <w:lang w:val="ro-MD"/>
              </w:rPr>
              <w:t xml:space="preserve"> lor medie nu depășește în mod semnificativ </w:t>
            </w:r>
            <w:proofErr w:type="spellStart"/>
            <w:r w:rsidRPr="004D6136">
              <w:rPr>
                <w:rFonts w:ascii="Times New Roman" w:hAnsi="Times New Roman" w:cs="Times New Roman"/>
                <w:bCs/>
                <w:color w:val="000000" w:themeColor="text1"/>
                <w:lang w:val="ro-MD"/>
              </w:rPr>
              <w:t>scadenţa</w:t>
            </w:r>
            <w:proofErr w:type="spellEnd"/>
            <w:r w:rsidRPr="004D6136">
              <w:rPr>
                <w:rFonts w:ascii="Times New Roman" w:hAnsi="Times New Roman" w:cs="Times New Roman"/>
                <w:bCs/>
                <w:color w:val="000000" w:themeColor="text1"/>
                <w:lang w:val="ro-MD"/>
              </w:rPr>
              <w:t xml:space="preserve"> medie a depozitelor atrase de </w:t>
            </w:r>
            <w:proofErr w:type="spellStart"/>
            <w:r w:rsidRPr="004D6136">
              <w:rPr>
                <w:rFonts w:ascii="Times New Roman" w:hAnsi="Times New Roman" w:cs="Times New Roman"/>
                <w:bCs/>
                <w:color w:val="000000" w:themeColor="text1"/>
                <w:lang w:val="ro-MD"/>
              </w:rPr>
              <w:t>instituţie</w:t>
            </w:r>
            <w:proofErr w:type="spellEnd"/>
            <w:r w:rsidRPr="004D6136">
              <w:rPr>
                <w:rFonts w:ascii="Times New Roman" w:hAnsi="Times New Roman" w:cs="Times New Roman"/>
                <w:bCs/>
                <w:color w:val="000000" w:themeColor="text1"/>
                <w:lang w:val="ro-MD"/>
              </w:rPr>
              <w:t>.</w:t>
            </w:r>
          </w:p>
        </w:tc>
        <w:tc>
          <w:tcPr>
            <w:tcW w:w="1557" w:type="pct"/>
            <w:shd w:val="clear" w:color="auto" w:fill="auto"/>
          </w:tcPr>
          <w:p w14:paraId="77735158" w14:textId="145C1CB0" w:rsidR="00816196" w:rsidRPr="004D6136" w:rsidRDefault="00B06441"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2</w:t>
            </w:r>
            <w:r w:rsidR="00811DCB" w:rsidRPr="004D6136">
              <w:rPr>
                <w:rFonts w:ascii="Times New Roman" w:hAnsi="Times New Roman" w:cs="Times New Roman"/>
                <w:bCs/>
                <w:color w:val="000000" w:themeColor="text1"/>
                <w:lang w:val="ro-MD"/>
              </w:rPr>
              <w:t>2</w:t>
            </w:r>
            <w:r w:rsidR="00816196" w:rsidRPr="004D6136">
              <w:rPr>
                <w:rFonts w:ascii="Times New Roman" w:hAnsi="Times New Roman" w:cs="Times New Roman"/>
                <w:bCs/>
                <w:color w:val="000000" w:themeColor="text1"/>
                <w:lang w:val="ro-MD"/>
              </w:rPr>
              <w:t>. Expunerile care urmează să fie excluse în sensul subpct.</w:t>
            </w:r>
            <w:r w:rsidRPr="004D6136">
              <w:rPr>
                <w:rFonts w:ascii="Times New Roman" w:hAnsi="Times New Roman" w:cs="Times New Roman"/>
                <w:bCs/>
                <w:color w:val="000000" w:themeColor="text1"/>
                <w:lang w:val="ro-MD"/>
              </w:rPr>
              <w:t>1</w:t>
            </w:r>
            <w:r w:rsidR="00531CDD" w:rsidRPr="004D6136">
              <w:rPr>
                <w:rFonts w:ascii="Times New Roman" w:hAnsi="Times New Roman" w:cs="Times New Roman"/>
                <w:bCs/>
                <w:color w:val="000000" w:themeColor="text1"/>
                <w:lang w:val="ro-MD"/>
              </w:rPr>
              <w:t>9</w:t>
            </w:r>
            <w:r w:rsidRPr="004D6136">
              <w:rPr>
                <w:rFonts w:ascii="Times New Roman" w:hAnsi="Times New Roman" w:cs="Times New Roman"/>
                <w:bCs/>
                <w:color w:val="000000" w:themeColor="text1"/>
                <w:lang w:val="ro-MD"/>
              </w:rPr>
              <w:t>.</w:t>
            </w:r>
            <w:r w:rsidR="009061C5" w:rsidRPr="004D6136">
              <w:rPr>
                <w:rFonts w:ascii="Times New Roman" w:hAnsi="Times New Roman" w:cs="Times New Roman"/>
                <w:bCs/>
                <w:color w:val="000000" w:themeColor="text1"/>
                <w:lang w:val="ro-MD"/>
              </w:rPr>
              <w:t>10</w:t>
            </w:r>
            <w:r w:rsidR="00816196" w:rsidRPr="004D6136">
              <w:rPr>
                <w:rFonts w:ascii="Times New Roman" w:hAnsi="Times New Roman" w:cs="Times New Roman"/>
                <w:bCs/>
                <w:color w:val="000000" w:themeColor="text1"/>
                <w:lang w:val="ro-MD"/>
              </w:rPr>
              <w:t xml:space="preserve"> îndeplinesc cumulativ următoarele două </w:t>
            </w:r>
            <w:proofErr w:type="spellStart"/>
            <w:r w:rsidR="00816196" w:rsidRPr="004D6136">
              <w:rPr>
                <w:rFonts w:ascii="Times New Roman" w:hAnsi="Times New Roman" w:cs="Times New Roman"/>
                <w:bCs/>
                <w:color w:val="000000" w:themeColor="text1"/>
                <w:lang w:val="ro-MD"/>
              </w:rPr>
              <w:t>condiţii</w:t>
            </w:r>
            <w:proofErr w:type="spellEnd"/>
            <w:r w:rsidR="00816196" w:rsidRPr="004D6136">
              <w:rPr>
                <w:rFonts w:ascii="Times New Roman" w:hAnsi="Times New Roman" w:cs="Times New Roman"/>
                <w:bCs/>
                <w:color w:val="000000" w:themeColor="text1"/>
                <w:lang w:val="ro-MD"/>
              </w:rPr>
              <w:t>:</w:t>
            </w:r>
          </w:p>
          <w:p w14:paraId="1E049F6C" w14:textId="262736CB" w:rsidR="00816196" w:rsidRPr="004D6136" w:rsidRDefault="00B06441"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2</w:t>
            </w:r>
            <w:r w:rsidR="00811DCB" w:rsidRPr="004D6136">
              <w:rPr>
                <w:rFonts w:ascii="Times New Roman" w:hAnsi="Times New Roman" w:cs="Times New Roman"/>
                <w:bCs/>
                <w:color w:val="000000" w:themeColor="text1"/>
                <w:lang w:val="ro-MD"/>
              </w:rPr>
              <w:t>2</w:t>
            </w:r>
            <w:r w:rsidR="00816196" w:rsidRPr="004D6136">
              <w:rPr>
                <w:rFonts w:ascii="Times New Roman" w:hAnsi="Times New Roman" w:cs="Times New Roman"/>
                <w:bCs/>
                <w:color w:val="000000" w:themeColor="text1"/>
                <w:lang w:val="ro-MD"/>
              </w:rPr>
              <w:t>.1. sunt exprimate în aceeași monedă ca depozitele atrase de bancă;</w:t>
            </w:r>
          </w:p>
          <w:p w14:paraId="43381F88" w14:textId="15D53948" w:rsidR="00816196" w:rsidRPr="004D6136" w:rsidRDefault="00B06441"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2</w:t>
            </w:r>
            <w:r w:rsidR="00811DCB" w:rsidRPr="004D6136">
              <w:rPr>
                <w:rFonts w:ascii="Times New Roman" w:hAnsi="Times New Roman" w:cs="Times New Roman"/>
                <w:bCs/>
                <w:color w:val="000000" w:themeColor="text1"/>
                <w:lang w:val="ro-MD"/>
              </w:rPr>
              <w:t>2</w:t>
            </w:r>
            <w:r w:rsidR="00816196" w:rsidRPr="004D6136">
              <w:rPr>
                <w:rFonts w:ascii="Times New Roman" w:hAnsi="Times New Roman" w:cs="Times New Roman"/>
                <w:bCs/>
                <w:color w:val="000000" w:themeColor="text1"/>
                <w:lang w:val="ro-MD"/>
              </w:rPr>
              <w:t xml:space="preserve">.2 </w:t>
            </w:r>
            <w:proofErr w:type="spellStart"/>
            <w:r w:rsidR="00816196" w:rsidRPr="004D6136">
              <w:rPr>
                <w:rFonts w:ascii="Times New Roman" w:hAnsi="Times New Roman" w:cs="Times New Roman"/>
                <w:bCs/>
                <w:color w:val="000000" w:themeColor="text1"/>
                <w:lang w:val="ro-MD"/>
              </w:rPr>
              <w:t>scadenţa</w:t>
            </w:r>
            <w:proofErr w:type="spellEnd"/>
            <w:r w:rsidR="00816196" w:rsidRPr="004D6136">
              <w:rPr>
                <w:rFonts w:ascii="Times New Roman" w:hAnsi="Times New Roman" w:cs="Times New Roman"/>
                <w:bCs/>
                <w:color w:val="000000" w:themeColor="text1"/>
                <w:lang w:val="ro-MD"/>
              </w:rPr>
              <w:t xml:space="preserve"> lor medie nu depășește în mod semnificativ </w:t>
            </w:r>
            <w:proofErr w:type="spellStart"/>
            <w:r w:rsidR="00816196" w:rsidRPr="004D6136">
              <w:rPr>
                <w:rFonts w:ascii="Times New Roman" w:hAnsi="Times New Roman" w:cs="Times New Roman"/>
                <w:bCs/>
                <w:color w:val="000000" w:themeColor="text1"/>
                <w:lang w:val="ro-MD"/>
              </w:rPr>
              <w:t>scadenţa</w:t>
            </w:r>
            <w:proofErr w:type="spellEnd"/>
            <w:r w:rsidR="00816196" w:rsidRPr="004D6136">
              <w:rPr>
                <w:rFonts w:ascii="Times New Roman" w:hAnsi="Times New Roman" w:cs="Times New Roman"/>
                <w:bCs/>
                <w:color w:val="000000" w:themeColor="text1"/>
                <w:lang w:val="ro-MD"/>
              </w:rPr>
              <w:t xml:space="preserve"> medie a depozitelor atrase de bancă.</w:t>
            </w:r>
          </w:p>
        </w:tc>
        <w:tc>
          <w:tcPr>
            <w:tcW w:w="585" w:type="pct"/>
          </w:tcPr>
          <w:p w14:paraId="5B1E74CE" w14:textId="35A8BB2F" w:rsidR="00816196" w:rsidRPr="004D6136" w:rsidRDefault="00B06441" w:rsidP="00816196">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compatibil</w:t>
            </w:r>
          </w:p>
        </w:tc>
        <w:tc>
          <w:tcPr>
            <w:tcW w:w="1261" w:type="pct"/>
          </w:tcPr>
          <w:p w14:paraId="3A73D8DB" w14:textId="77777777" w:rsidR="00816196" w:rsidRPr="004D6136" w:rsidRDefault="00816196" w:rsidP="00816196">
            <w:pPr>
              <w:spacing w:line="276" w:lineRule="auto"/>
              <w:jc w:val="both"/>
              <w:rPr>
                <w:rFonts w:ascii="Times New Roman" w:hAnsi="Times New Roman" w:cs="Times New Roman"/>
                <w:bCs/>
                <w:color w:val="000000" w:themeColor="text1"/>
                <w:lang w:val="ro-MD"/>
              </w:rPr>
            </w:pPr>
          </w:p>
        </w:tc>
      </w:tr>
      <w:tr w:rsidR="00816196" w:rsidRPr="004D6136" w14:paraId="3ED9F7BB" w14:textId="77777777" w:rsidTr="000F0E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47AA4ED4" w14:textId="5B8FEA31"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hint="eastAsia"/>
                <w:bCs/>
                <w:color w:val="000000" w:themeColor="text1"/>
                <w:lang w:val="ro-MD"/>
              </w:rPr>
              <w:t>(7)   Prin derogare de la articolul 92 alineatul (1) litera (d), în cazul în care exclude expunerile menționate la prezentul articol alineatul (1) litera (n), o instituție îndeplinește în orice moment următoarea cerință privind indicatorul efectului de levier ajustat pe durata excluderii:</w:t>
            </w:r>
          </w:p>
          <w:p w14:paraId="6B9EF095" w14:textId="78BFC2D7"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noProof/>
                <w:color w:val="000000" w:themeColor="text1"/>
                <w:lang w:val="ro-MD"/>
              </w:rPr>
              <w:lastRenderedPageBreak/>
              <w:drawing>
                <wp:inline distT="0" distB="0" distL="0" distR="0" wp14:anchorId="11B9C398" wp14:editId="44EDFAEA">
                  <wp:extent cx="2545715" cy="607060"/>
                  <wp:effectExtent l="0" t="0" r="6985" b="254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5715" cy="607060"/>
                          </a:xfrm>
                          <a:prstGeom prst="rect">
                            <a:avLst/>
                          </a:prstGeom>
                          <a:noFill/>
                          <a:ln>
                            <a:noFill/>
                          </a:ln>
                        </pic:spPr>
                      </pic:pic>
                    </a:graphicData>
                  </a:graphic>
                </wp:inline>
              </w:drawing>
            </w:r>
          </w:p>
          <w:p w14:paraId="4B806E9A" w14:textId="77777777"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hint="eastAsia"/>
                <w:bCs/>
                <w:color w:val="000000" w:themeColor="text1"/>
                <w:lang w:val="ro-MD"/>
              </w:rPr>
              <w:t>unde:</w:t>
            </w:r>
          </w:p>
          <w:tbl>
            <w:tblPr>
              <w:tblW w:w="5000" w:type="pct"/>
              <w:tblLayout w:type="fixed"/>
              <w:tblCellMar>
                <w:left w:w="0" w:type="dxa"/>
                <w:right w:w="0" w:type="dxa"/>
              </w:tblCellMar>
              <w:tblLook w:val="04A0" w:firstRow="1" w:lastRow="0" w:firstColumn="1" w:lastColumn="0" w:noHBand="0" w:noVBand="1"/>
            </w:tblPr>
            <w:tblGrid>
              <w:gridCol w:w="488"/>
              <w:gridCol w:w="168"/>
              <w:gridCol w:w="4156"/>
            </w:tblGrid>
            <w:tr w:rsidR="00816196" w:rsidRPr="004D6136" w14:paraId="27B6E25D" w14:textId="77777777" w:rsidTr="00305BF7">
              <w:tc>
                <w:tcPr>
                  <w:tcW w:w="969" w:type="dxa"/>
                  <w:shd w:val="clear" w:color="auto" w:fill="auto"/>
                  <w:hideMark/>
                </w:tcPr>
                <w:p w14:paraId="191FE822" w14:textId="77777777" w:rsidR="00816196" w:rsidRPr="004D6136" w:rsidRDefault="00816196" w:rsidP="00816196">
                  <w:pPr>
                    <w:spacing w:after="0" w:line="276" w:lineRule="auto"/>
                    <w:jc w:val="both"/>
                    <w:rPr>
                      <w:rFonts w:ascii="Times New Roman" w:hAnsi="Times New Roman" w:cs="Times New Roman"/>
                      <w:bCs/>
                      <w:color w:val="000000" w:themeColor="text1"/>
                      <w:lang w:val="ro-MD"/>
                    </w:rPr>
                  </w:pPr>
                  <w:proofErr w:type="spellStart"/>
                  <w:r w:rsidRPr="004D6136">
                    <w:rPr>
                      <w:rFonts w:ascii="Times New Roman" w:hAnsi="Times New Roman" w:cs="Times New Roman"/>
                      <w:bCs/>
                      <w:color w:val="000000" w:themeColor="text1"/>
                      <w:lang w:val="ro-MD"/>
                    </w:rPr>
                    <w:t>aLR</w:t>
                  </w:r>
                  <w:proofErr w:type="spellEnd"/>
                </w:p>
              </w:tc>
              <w:tc>
                <w:tcPr>
                  <w:tcW w:w="319" w:type="dxa"/>
                  <w:shd w:val="clear" w:color="auto" w:fill="auto"/>
                  <w:hideMark/>
                </w:tcPr>
                <w:p w14:paraId="78192030" w14:textId="77777777"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w:t>
                  </w:r>
                </w:p>
              </w:tc>
              <w:tc>
                <w:tcPr>
                  <w:tcW w:w="8401" w:type="dxa"/>
                  <w:shd w:val="clear" w:color="auto" w:fill="auto"/>
                  <w:hideMark/>
                </w:tcPr>
                <w:p w14:paraId="76F4C858" w14:textId="77777777"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indicatorul efectului de levier ajustat;</w:t>
                  </w:r>
                </w:p>
              </w:tc>
            </w:tr>
          </w:tbl>
          <w:p w14:paraId="2E16D025" w14:textId="77777777" w:rsidR="00816196" w:rsidRPr="004D6136" w:rsidRDefault="00816196" w:rsidP="00816196">
            <w:pPr>
              <w:spacing w:after="0" w:line="276" w:lineRule="auto"/>
              <w:jc w:val="both"/>
              <w:rPr>
                <w:rFonts w:ascii="Times New Roman" w:hAnsi="Times New Roman" w:cs="Times New Roman"/>
                <w:b/>
                <w:bCs/>
                <w:color w:val="000000" w:themeColor="text1"/>
                <w:lang w:val="ro-MD"/>
              </w:rPr>
            </w:pPr>
            <w:hyperlink r:id="rId12" w:tooltip="32020R0873: REPLACED" w:history="1">
              <w:r w:rsidRPr="004D6136">
                <w:rPr>
                  <w:rStyle w:val="Hyperlink"/>
                  <w:rFonts w:ascii="Arial" w:hAnsi="Arial" w:cs="Arial"/>
                  <w:b/>
                  <w:bCs/>
                  <w:lang w:val="ro-MD"/>
                </w:rPr>
                <w:t>▼</w:t>
              </w:r>
              <w:r w:rsidRPr="004D6136">
                <w:rPr>
                  <w:rStyle w:val="Hyperlink"/>
                  <w:rFonts w:ascii="Times New Roman" w:hAnsi="Times New Roman" w:cs="Times New Roman" w:hint="eastAsia"/>
                  <w:b/>
                  <w:bCs/>
                  <w:lang w:val="ro-MD"/>
                </w:rPr>
                <w:t>M11</w:t>
              </w:r>
            </w:hyperlink>
          </w:p>
          <w:tbl>
            <w:tblPr>
              <w:tblW w:w="4714" w:type="dxa"/>
              <w:tblLayout w:type="fixed"/>
              <w:tblCellMar>
                <w:left w:w="0" w:type="dxa"/>
                <w:right w:w="0" w:type="dxa"/>
              </w:tblCellMar>
              <w:tblLook w:val="04A0" w:firstRow="1" w:lastRow="0" w:firstColumn="1" w:lastColumn="0" w:noHBand="0" w:noVBand="1"/>
            </w:tblPr>
            <w:tblGrid>
              <w:gridCol w:w="603"/>
              <w:gridCol w:w="77"/>
              <w:gridCol w:w="4034"/>
            </w:tblGrid>
            <w:tr w:rsidR="00816196" w:rsidRPr="004D6136" w14:paraId="7F3EC861" w14:textId="77777777" w:rsidTr="004C1581">
              <w:tc>
                <w:tcPr>
                  <w:tcW w:w="603" w:type="dxa"/>
                  <w:shd w:val="clear" w:color="auto" w:fill="auto"/>
                  <w:hideMark/>
                </w:tcPr>
                <w:p w14:paraId="3C3BE46C" w14:textId="77777777"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EM</w:t>
                  </w:r>
                  <w:r w:rsidRPr="004D6136">
                    <w:rPr>
                      <w:rFonts w:ascii="Times New Roman" w:hAnsi="Times New Roman" w:cs="Times New Roman"/>
                      <w:bCs/>
                      <w:color w:val="000000" w:themeColor="text1"/>
                      <w:vertAlign w:val="subscript"/>
                      <w:lang w:val="ro-MD"/>
                    </w:rPr>
                    <w:t>LR</w:t>
                  </w:r>
                </w:p>
              </w:tc>
              <w:tc>
                <w:tcPr>
                  <w:tcW w:w="77" w:type="dxa"/>
                  <w:shd w:val="clear" w:color="auto" w:fill="auto"/>
                  <w:hideMark/>
                </w:tcPr>
                <w:p w14:paraId="60B6D9ED" w14:textId="77777777"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w:t>
                  </w:r>
                </w:p>
              </w:tc>
              <w:tc>
                <w:tcPr>
                  <w:tcW w:w="4034" w:type="dxa"/>
                  <w:shd w:val="clear" w:color="auto" w:fill="auto"/>
                  <w:hideMark/>
                </w:tcPr>
                <w:p w14:paraId="61D33901" w14:textId="77777777"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indicatorul de măsurare a expunerii totale a instituției, astfel cum este calculat în conformitate cu articolul 429 alineatul (4), inclusiv expunerile excluse în conformitate cu alineatul (1) litera (n) din prezentul articol, la data menționată la alineatul (5) litera (c) din prezentul articol; și</w:t>
                  </w:r>
                </w:p>
              </w:tc>
            </w:tr>
          </w:tbl>
          <w:p w14:paraId="269A3C75" w14:textId="77777777" w:rsidR="00816196" w:rsidRPr="004D6136" w:rsidRDefault="00816196" w:rsidP="00816196">
            <w:pPr>
              <w:spacing w:after="0" w:line="276" w:lineRule="auto"/>
              <w:jc w:val="both"/>
              <w:rPr>
                <w:rFonts w:ascii="Times New Roman" w:hAnsi="Times New Roman" w:cs="Times New Roman"/>
                <w:bCs/>
                <w:vanish/>
                <w:color w:val="000000" w:themeColor="text1"/>
                <w:lang w:val="ro-MD"/>
              </w:rPr>
            </w:pPr>
          </w:p>
          <w:tbl>
            <w:tblPr>
              <w:tblW w:w="4714" w:type="dxa"/>
              <w:tblLayout w:type="fixed"/>
              <w:tblCellMar>
                <w:left w:w="0" w:type="dxa"/>
                <w:right w:w="0" w:type="dxa"/>
              </w:tblCellMar>
              <w:tblLook w:val="04A0" w:firstRow="1" w:lastRow="0" w:firstColumn="1" w:lastColumn="0" w:noHBand="0" w:noVBand="1"/>
            </w:tblPr>
            <w:tblGrid>
              <w:gridCol w:w="461"/>
              <w:gridCol w:w="77"/>
              <w:gridCol w:w="4176"/>
            </w:tblGrid>
            <w:tr w:rsidR="00816196" w:rsidRPr="004D6136" w14:paraId="01AF6E9B" w14:textId="77777777" w:rsidTr="004C1581">
              <w:tc>
                <w:tcPr>
                  <w:tcW w:w="461" w:type="dxa"/>
                  <w:shd w:val="clear" w:color="auto" w:fill="auto"/>
                  <w:hideMark/>
                </w:tcPr>
                <w:p w14:paraId="060E1ADE" w14:textId="09A79927"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CB</w:t>
                  </w:r>
                </w:p>
              </w:tc>
              <w:tc>
                <w:tcPr>
                  <w:tcW w:w="77" w:type="dxa"/>
                  <w:shd w:val="clear" w:color="auto" w:fill="auto"/>
                  <w:hideMark/>
                </w:tcPr>
                <w:p w14:paraId="66295943" w14:textId="77777777"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w:t>
                  </w:r>
                </w:p>
              </w:tc>
              <w:tc>
                <w:tcPr>
                  <w:tcW w:w="4176" w:type="dxa"/>
                  <w:shd w:val="clear" w:color="auto" w:fill="auto"/>
                  <w:hideMark/>
                </w:tcPr>
                <w:p w14:paraId="5B525C65" w14:textId="77777777"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valoarea totală medie zilnică a expunerilor instituției față de banca sa centrală, calculată pentru întreaga perioadă de aplicare a rezervelor minime obligatorii a băncii centrale imediat anterioară datei menționate la alineatul (5) litera (c), care sunt eligibile pentru a fi excluse în conformitate cu alineatul (1) litera (n).</w:t>
                  </w:r>
                </w:p>
              </w:tc>
            </w:tr>
          </w:tbl>
          <w:p w14:paraId="24E08F03" w14:textId="77777777" w:rsidR="00816196" w:rsidRPr="004D6136" w:rsidRDefault="00816196" w:rsidP="00816196">
            <w:pPr>
              <w:spacing w:after="0" w:line="276" w:lineRule="auto"/>
              <w:jc w:val="both"/>
              <w:rPr>
                <w:rFonts w:ascii="Times New Roman" w:hAnsi="Times New Roman" w:cs="Times New Roman"/>
                <w:bCs/>
                <w:color w:val="000000" w:themeColor="text1"/>
                <w:lang w:val="ro-MD"/>
              </w:rPr>
            </w:pPr>
          </w:p>
        </w:tc>
        <w:tc>
          <w:tcPr>
            <w:tcW w:w="1557" w:type="pct"/>
            <w:shd w:val="clear" w:color="auto" w:fill="auto"/>
          </w:tcPr>
          <w:p w14:paraId="5B94B903" w14:textId="74DF1DDE" w:rsidR="00816196" w:rsidRPr="004D6136" w:rsidRDefault="00B06441"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2</w:t>
            </w:r>
            <w:r w:rsidR="00811DCB" w:rsidRPr="004D6136">
              <w:rPr>
                <w:rFonts w:ascii="Times New Roman" w:hAnsi="Times New Roman" w:cs="Times New Roman"/>
                <w:bCs/>
                <w:color w:val="000000" w:themeColor="text1"/>
                <w:lang w:val="ro-MD"/>
              </w:rPr>
              <w:t>3</w:t>
            </w:r>
            <w:r w:rsidR="00816196" w:rsidRPr="004D6136">
              <w:rPr>
                <w:rFonts w:ascii="Times New Roman" w:hAnsi="Times New Roman" w:cs="Times New Roman"/>
                <w:bCs/>
                <w:color w:val="000000" w:themeColor="text1"/>
                <w:lang w:val="ro-MD"/>
              </w:rPr>
              <w:t>.</w:t>
            </w:r>
            <w:r w:rsidR="00816196" w:rsidRPr="004D6136">
              <w:rPr>
                <w:rFonts w:ascii="Times New Roman" w:hAnsi="Times New Roman" w:cs="Times New Roman" w:hint="eastAsia"/>
                <w:bCs/>
                <w:color w:val="000000" w:themeColor="text1"/>
                <w:lang w:val="ro-MD"/>
              </w:rPr>
              <w:t xml:space="preserve">  Prin derogare de la </w:t>
            </w:r>
            <w:r w:rsidR="00816196" w:rsidRPr="004D6136">
              <w:rPr>
                <w:rFonts w:ascii="Times New Roman" w:hAnsi="Times New Roman" w:cs="Times New Roman"/>
                <w:bCs/>
                <w:color w:val="000000" w:themeColor="text1"/>
                <w:lang w:val="ro-MD"/>
              </w:rPr>
              <w:t>subpct.4) al pct.130 din Regulamentul nr.109/2018</w:t>
            </w:r>
            <w:r w:rsidR="00816196" w:rsidRPr="004D6136">
              <w:rPr>
                <w:rFonts w:ascii="Times New Roman" w:hAnsi="Times New Roman" w:cs="Times New Roman" w:hint="eastAsia"/>
                <w:bCs/>
                <w:color w:val="000000" w:themeColor="text1"/>
                <w:lang w:val="ro-MD"/>
              </w:rPr>
              <w:t xml:space="preserve">, în cazul în care exclude expunerile menționate la </w:t>
            </w:r>
            <w:r w:rsidR="00816196" w:rsidRPr="004D6136">
              <w:rPr>
                <w:rFonts w:ascii="Times New Roman" w:hAnsi="Times New Roman" w:cs="Times New Roman"/>
                <w:bCs/>
                <w:color w:val="000000" w:themeColor="text1"/>
                <w:lang w:val="ro-MD"/>
              </w:rPr>
              <w:t>subpct.</w:t>
            </w:r>
            <w:r w:rsidRPr="004D6136">
              <w:rPr>
                <w:rFonts w:ascii="Times New Roman" w:hAnsi="Times New Roman" w:cs="Times New Roman"/>
                <w:bCs/>
                <w:color w:val="000000" w:themeColor="text1"/>
                <w:lang w:val="ro-MD"/>
              </w:rPr>
              <w:t>1</w:t>
            </w:r>
            <w:r w:rsidR="00531CDD" w:rsidRPr="004D6136">
              <w:rPr>
                <w:rFonts w:ascii="Times New Roman" w:hAnsi="Times New Roman" w:cs="Times New Roman"/>
                <w:bCs/>
                <w:color w:val="000000" w:themeColor="text1"/>
                <w:lang w:val="ro-MD"/>
              </w:rPr>
              <w:t>9</w:t>
            </w:r>
            <w:r w:rsidRPr="004D6136">
              <w:rPr>
                <w:rFonts w:ascii="Times New Roman" w:hAnsi="Times New Roman" w:cs="Times New Roman"/>
                <w:bCs/>
                <w:color w:val="000000" w:themeColor="text1"/>
                <w:lang w:val="ro-MD"/>
              </w:rPr>
              <w:t>.</w:t>
            </w:r>
            <w:r w:rsidR="009061C5" w:rsidRPr="004D6136">
              <w:rPr>
                <w:rFonts w:ascii="Times New Roman" w:hAnsi="Times New Roman" w:cs="Times New Roman"/>
                <w:bCs/>
                <w:color w:val="000000" w:themeColor="text1"/>
                <w:lang w:val="ro-MD"/>
              </w:rPr>
              <w:t>10</w:t>
            </w:r>
            <w:r w:rsidR="00816196" w:rsidRPr="004D6136">
              <w:rPr>
                <w:rFonts w:ascii="Times New Roman" w:hAnsi="Times New Roman" w:cs="Times New Roman" w:hint="eastAsia"/>
                <w:bCs/>
                <w:color w:val="000000" w:themeColor="text1"/>
                <w:lang w:val="ro-MD"/>
              </w:rPr>
              <w:t xml:space="preserve">, o </w:t>
            </w:r>
            <w:r w:rsidR="00816196" w:rsidRPr="004D6136">
              <w:rPr>
                <w:rFonts w:ascii="Times New Roman" w:hAnsi="Times New Roman" w:cs="Times New Roman"/>
                <w:bCs/>
                <w:color w:val="000000" w:themeColor="text1"/>
                <w:lang w:val="ro-MD"/>
              </w:rPr>
              <w:t>bancă</w:t>
            </w:r>
            <w:r w:rsidR="00816196" w:rsidRPr="004D6136">
              <w:rPr>
                <w:rFonts w:ascii="Times New Roman" w:hAnsi="Times New Roman" w:cs="Times New Roman" w:hint="eastAsia"/>
                <w:bCs/>
                <w:color w:val="000000" w:themeColor="text1"/>
                <w:lang w:val="ro-MD"/>
              </w:rPr>
              <w:t xml:space="preserve"> îndeplinește în orice moment următoarea cerință privind indicatorul efectului de levier ajustat pe durata excluderii:</w:t>
            </w:r>
          </w:p>
          <w:p w14:paraId="738A7D6E" w14:textId="77777777"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noProof/>
                <w:color w:val="000000" w:themeColor="text1"/>
                <w:lang w:val="ro-MD"/>
              </w:rPr>
              <w:lastRenderedPageBreak/>
              <w:drawing>
                <wp:inline distT="0" distB="0" distL="0" distR="0" wp14:anchorId="0EB19410" wp14:editId="4D89F39E">
                  <wp:extent cx="2545715" cy="607060"/>
                  <wp:effectExtent l="0" t="0" r="6985" b="2540"/>
                  <wp:docPr id="13" name="Picture 1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5715" cy="607060"/>
                          </a:xfrm>
                          <a:prstGeom prst="rect">
                            <a:avLst/>
                          </a:prstGeom>
                          <a:noFill/>
                          <a:ln>
                            <a:noFill/>
                          </a:ln>
                        </pic:spPr>
                      </pic:pic>
                    </a:graphicData>
                  </a:graphic>
                </wp:inline>
              </w:drawing>
            </w:r>
          </w:p>
          <w:p w14:paraId="22FAE0E5" w14:textId="77777777"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hint="eastAsia"/>
                <w:bCs/>
                <w:color w:val="000000" w:themeColor="text1"/>
                <w:lang w:val="ro-MD"/>
              </w:rPr>
              <w:t>unde:</w:t>
            </w:r>
          </w:p>
          <w:tbl>
            <w:tblPr>
              <w:tblW w:w="5000" w:type="pct"/>
              <w:tblLayout w:type="fixed"/>
              <w:tblCellMar>
                <w:left w:w="0" w:type="dxa"/>
                <w:right w:w="0" w:type="dxa"/>
              </w:tblCellMar>
              <w:tblLook w:val="04A0" w:firstRow="1" w:lastRow="0" w:firstColumn="1" w:lastColumn="0" w:noHBand="0" w:noVBand="1"/>
            </w:tblPr>
            <w:tblGrid>
              <w:gridCol w:w="476"/>
              <w:gridCol w:w="164"/>
              <w:gridCol w:w="4046"/>
            </w:tblGrid>
            <w:tr w:rsidR="00816196" w:rsidRPr="004D6136" w14:paraId="5865F85C" w14:textId="77777777" w:rsidTr="00B35473">
              <w:tc>
                <w:tcPr>
                  <w:tcW w:w="969" w:type="dxa"/>
                  <w:shd w:val="clear" w:color="auto" w:fill="auto"/>
                  <w:hideMark/>
                </w:tcPr>
                <w:p w14:paraId="0D927574" w14:textId="77777777" w:rsidR="00816196" w:rsidRPr="004D6136" w:rsidRDefault="00816196" w:rsidP="00816196">
                  <w:pPr>
                    <w:spacing w:after="0" w:line="276" w:lineRule="auto"/>
                    <w:jc w:val="both"/>
                    <w:rPr>
                      <w:rFonts w:ascii="Times New Roman" w:hAnsi="Times New Roman" w:cs="Times New Roman"/>
                      <w:bCs/>
                      <w:color w:val="000000" w:themeColor="text1"/>
                      <w:lang w:val="ro-MD"/>
                    </w:rPr>
                  </w:pPr>
                  <w:proofErr w:type="spellStart"/>
                  <w:r w:rsidRPr="004D6136">
                    <w:rPr>
                      <w:rFonts w:ascii="Times New Roman" w:hAnsi="Times New Roman" w:cs="Times New Roman"/>
                      <w:bCs/>
                      <w:color w:val="000000" w:themeColor="text1"/>
                      <w:lang w:val="ro-MD"/>
                    </w:rPr>
                    <w:t>aLR</w:t>
                  </w:r>
                  <w:proofErr w:type="spellEnd"/>
                </w:p>
              </w:tc>
              <w:tc>
                <w:tcPr>
                  <w:tcW w:w="319" w:type="dxa"/>
                  <w:shd w:val="clear" w:color="auto" w:fill="auto"/>
                  <w:hideMark/>
                </w:tcPr>
                <w:p w14:paraId="46B0A8D3" w14:textId="77777777"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w:t>
                  </w:r>
                </w:p>
              </w:tc>
              <w:tc>
                <w:tcPr>
                  <w:tcW w:w="8401" w:type="dxa"/>
                  <w:shd w:val="clear" w:color="auto" w:fill="auto"/>
                  <w:hideMark/>
                </w:tcPr>
                <w:p w14:paraId="02497DA6" w14:textId="77777777"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indicatorul efectului de levier ajustat;</w:t>
                  </w:r>
                </w:p>
              </w:tc>
            </w:tr>
          </w:tbl>
          <w:p w14:paraId="5AF5BDF6" w14:textId="2E89C77C" w:rsidR="00816196" w:rsidRPr="004D6136" w:rsidRDefault="00816196" w:rsidP="00816196">
            <w:pPr>
              <w:spacing w:after="0" w:line="276" w:lineRule="auto"/>
              <w:jc w:val="both"/>
              <w:rPr>
                <w:rFonts w:ascii="Times New Roman" w:hAnsi="Times New Roman" w:cs="Times New Roman"/>
                <w:b/>
                <w:bCs/>
                <w:color w:val="000000" w:themeColor="text1"/>
                <w:lang w:val="ro-MD"/>
              </w:rPr>
            </w:pPr>
          </w:p>
          <w:tbl>
            <w:tblPr>
              <w:tblW w:w="4714" w:type="dxa"/>
              <w:tblLayout w:type="fixed"/>
              <w:tblCellMar>
                <w:left w:w="0" w:type="dxa"/>
                <w:right w:w="0" w:type="dxa"/>
              </w:tblCellMar>
              <w:tblLook w:val="04A0" w:firstRow="1" w:lastRow="0" w:firstColumn="1" w:lastColumn="0" w:noHBand="0" w:noVBand="1"/>
            </w:tblPr>
            <w:tblGrid>
              <w:gridCol w:w="603"/>
              <w:gridCol w:w="77"/>
              <w:gridCol w:w="4034"/>
            </w:tblGrid>
            <w:tr w:rsidR="00816196" w:rsidRPr="004D6136" w14:paraId="764C9CED" w14:textId="77777777" w:rsidTr="00B35473">
              <w:tc>
                <w:tcPr>
                  <w:tcW w:w="603" w:type="dxa"/>
                  <w:shd w:val="clear" w:color="auto" w:fill="auto"/>
                  <w:hideMark/>
                </w:tcPr>
                <w:p w14:paraId="20855D5C" w14:textId="77777777"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EM</w:t>
                  </w:r>
                  <w:r w:rsidRPr="004D6136">
                    <w:rPr>
                      <w:rFonts w:ascii="Times New Roman" w:hAnsi="Times New Roman" w:cs="Times New Roman"/>
                      <w:bCs/>
                      <w:color w:val="000000" w:themeColor="text1"/>
                      <w:vertAlign w:val="subscript"/>
                      <w:lang w:val="ro-MD"/>
                    </w:rPr>
                    <w:t>LR</w:t>
                  </w:r>
                </w:p>
              </w:tc>
              <w:tc>
                <w:tcPr>
                  <w:tcW w:w="77" w:type="dxa"/>
                  <w:shd w:val="clear" w:color="auto" w:fill="auto"/>
                  <w:hideMark/>
                </w:tcPr>
                <w:p w14:paraId="375B67D7" w14:textId="77777777"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w:t>
                  </w:r>
                </w:p>
              </w:tc>
              <w:tc>
                <w:tcPr>
                  <w:tcW w:w="4034" w:type="dxa"/>
                  <w:shd w:val="clear" w:color="auto" w:fill="auto"/>
                  <w:hideMark/>
                </w:tcPr>
                <w:p w14:paraId="48AB7FA4" w14:textId="7C1EF174"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indicatorul de măsurare a expunerii totale a instituției, astfel cum este calculat în conformitate cu pct.9-11, inclusiv expunerile excluse în conformitate cu subpct.1</w:t>
                  </w:r>
                  <w:r w:rsidR="00531CDD" w:rsidRPr="004D6136">
                    <w:rPr>
                      <w:rFonts w:ascii="Times New Roman" w:hAnsi="Times New Roman" w:cs="Times New Roman"/>
                      <w:bCs/>
                      <w:color w:val="000000" w:themeColor="text1"/>
                      <w:lang w:val="ro-MD"/>
                    </w:rPr>
                    <w:t>9</w:t>
                  </w:r>
                  <w:r w:rsidR="00B06441" w:rsidRPr="004D6136">
                    <w:rPr>
                      <w:rFonts w:ascii="Times New Roman" w:hAnsi="Times New Roman" w:cs="Times New Roman"/>
                      <w:bCs/>
                      <w:color w:val="000000" w:themeColor="text1"/>
                      <w:lang w:val="ro-MD"/>
                    </w:rPr>
                    <w:t>.</w:t>
                  </w:r>
                  <w:r w:rsidR="009061C5" w:rsidRPr="004D6136">
                    <w:rPr>
                      <w:rFonts w:ascii="Times New Roman" w:hAnsi="Times New Roman" w:cs="Times New Roman"/>
                      <w:bCs/>
                      <w:color w:val="000000" w:themeColor="text1"/>
                      <w:lang w:val="ro-MD"/>
                    </w:rPr>
                    <w:t>10</w:t>
                  </w:r>
                  <w:r w:rsidRPr="004D6136">
                    <w:rPr>
                      <w:rFonts w:ascii="Times New Roman" w:hAnsi="Times New Roman" w:cs="Times New Roman"/>
                      <w:bCs/>
                      <w:color w:val="000000" w:themeColor="text1"/>
                      <w:lang w:val="ro-MD"/>
                    </w:rPr>
                    <w:t>, la data menționată la subpct.</w:t>
                  </w:r>
                  <w:r w:rsidR="00EE726C" w:rsidRPr="004D6136">
                    <w:rPr>
                      <w:rFonts w:ascii="Times New Roman" w:hAnsi="Times New Roman" w:cs="Times New Roman"/>
                      <w:bCs/>
                      <w:color w:val="000000" w:themeColor="text1"/>
                      <w:lang w:val="ro-MD"/>
                    </w:rPr>
                    <w:t>2</w:t>
                  </w:r>
                  <w:r w:rsidR="00B06441" w:rsidRPr="004D6136">
                    <w:rPr>
                      <w:rFonts w:ascii="Times New Roman" w:hAnsi="Times New Roman" w:cs="Times New Roman"/>
                      <w:bCs/>
                      <w:color w:val="000000" w:themeColor="text1"/>
                      <w:lang w:val="ro-MD"/>
                    </w:rPr>
                    <w:t>1</w:t>
                  </w:r>
                  <w:r w:rsidRPr="004D6136">
                    <w:rPr>
                      <w:rFonts w:ascii="Times New Roman" w:hAnsi="Times New Roman" w:cs="Times New Roman"/>
                      <w:bCs/>
                      <w:color w:val="000000" w:themeColor="text1"/>
                      <w:lang w:val="ro-MD"/>
                    </w:rPr>
                    <w:t>.3; și</w:t>
                  </w:r>
                </w:p>
              </w:tc>
            </w:tr>
          </w:tbl>
          <w:p w14:paraId="742D34F1" w14:textId="77777777" w:rsidR="00816196" w:rsidRPr="004D6136" w:rsidRDefault="00816196" w:rsidP="00816196">
            <w:pPr>
              <w:spacing w:after="0" w:line="276" w:lineRule="auto"/>
              <w:jc w:val="both"/>
              <w:rPr>
                <w:rFonts w:ascii="Times New Roman" w:hAnsi="Times New Roman" w:cs="Times New Roman"/>
                <w:bCs/>
                <w:vanish/>
                <w:color w:val="000000" w:themeColor="text1"/>
                <w:lang w:val="ro-MD"/>
              </w:rPr>
            </w:pPr>
          </w:p>
          <w:tbl>
            <w:tblPr>
              <w:tblW w:w="4714" w:type="dxa"/>
              <w:tblLayout w:type="fixed"/>
              <w:tblCellMar>
                <w:left w:w="0" w:type="dxa"/>
                <w:right w:w="0" w:type="dxa"/>
              </w:tblCellMar>
              <w:tblLook w:val="04A0" w:firstRow="1" w:lastRow="0" w:firstColumn="1" w:lastColumn="0" w:noHBand="0" w:noVBand="1"/>
            </w:tblPr>
            <w:tblGrid>
              <w:gridCol w:w="461"/>
              <w:gridCol w:w="77"/>
              <w:gridCol w:w="4176"/>
            </w:tblGrid>
            <w:tr w:rsidR="00816196" w:rsidRPr="004D6136" w14:paraId="1C4E9B89" w14:textId="77777777" w:rsidTr="00B35473">
              <w:tc>
                <w:tcPr>
                  <w:tcW w:w="461" w:type="dxa"/>
                  <w:shd w:val="clear" w:color="auto" w:fill="auto"/>
                  <w:hideMark/>
                </w:tcPr>
                <w:p w14:paraId="055503B5" w14:textId="77777777"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CB</w:t>
                  </w:r>
                </w:p>
              </w:tc>
              <w:tc>
                <w:tcPr>
                  <w:tcW w:w="77" w:type="dxa"/>
                  <w:shd w:val="clear" w:color="auto" w:fill="auto"/>
                  <w:hideMark/>
                </w:tcPr>
                <w:p w14:paraId="297BD780" w14:textId="77777777"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w:t>
                  </w:r>
                </w:p>
              </w:tc>
              <w:tc>
                <w:tcPr>
                  <w:tcW w:w="4176" w:type="dxa"/>
                  <w:shd w:val="clear" w:color="auto" w:fill="auto"/>
                  <w:hideMark/>
                </w:tcPr>
                <w:p w14:paraId="0F070B71" w14:textId="6D892742"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valoarea totală medie zilnică a expunerilor băncii față de banca sa centrală, calculată pentru întreaga perioadă de aplicare a rezervelor minime obligatorii a băncii centrale imediat anterioară datei menționate la subpct.</w:t>
                  </w:r>
                  <w:r w:rsidR="00EE726C" w:rsidRPr="004D6136">
                    <w:rPr>
                      <w:rFonts w:ascii="Times New Roman" w:hAnsi="Times New Roman" w:cs="Times New Roman"/>
                      <w:bCs/>
                      <w:color w:val="000000" w:themeColor="text1"/>
                      <w:lang w:val="ro-MD"/>
                    </w:rPr>
                    <w:t>21</w:t>
                  </w:r>
                  <w:r w:rsidRPr="004D6136">
                    <w:rPr>
                      <w:rFonts w:ascii="Times New Roman" w:hAnsi="Times New Roman" w:cs="Times New Roman"/>
                      <w:bCs/>
                      <w:color w:val="000000" w:themeColor="text1"/>
                      <w:lang w:val="ro-MD"/>
                    </w:rPr>
                    <w:t>.3, care sunt eligibile pentru a fi excluse în conformitate cu subpct.1</w:t>
                  </w:r>
                  <w:r w:rsidR="00531CDD" w:rsidRPr="004D6136">
                    <w:rPr>
                      <w:rFonts w:ascii="Times New Roman" w:hAnsi="Times New Roman" w:cs="Times New Roman"/>
                      <w:bCs/>
                      <w:color w:val="000000" w:themeColor="text1"/>
                      <w:lang w:val="ro-MD"/>
                    </w:rPr>
                    <w:t>9</w:t>
                  </w:r>
                  <w:r w:rsidR="00B06441" w:rsidRPr="004D6136">
                    <w:rPr>
                      <w:rFonts w:ascii="Times New Roman" w:hAnsi="Times New Roman" w:cs="Times New Roman"/>
                      <w:bCs/>
                      <w:color w:val="000000" w:themeColor="text1"/>
                      <w:lang w:val="ro-MD"/>
                    </w:rPr>
                    <w:t>.</w:t>
                  </w:r>
                  <w:r w:rsidR="009061C5" w:rsidRPr="004D6136">
                    <w:rPr>
                      <w:rFonts w:ascii="Times New Roman" w:hAnsi="Times New Roman" w:cs="Times New Roman"/>
                      <w:bCs/>
                      <w:color w:val="000000" w:themeColor="text1"/>
                      <w:lang w:val="ro-MD"/>
                    </w:rPr>
                    <w:t>10</w:t>
                  </w:r>
                  <w:r w:rsidRPr="004D6136">
                    <w:rPr>
                      <w:rFonts w:ascii="Times New Roman" w:hAnsi="Times New Roman" w:cs="Times New Roman"/>
                      <w:bCs/>
                      <w:color w:val="000000" w:themeColor="text1"/>
                      <w:lang w:val="ro-MD"/>
                    </w:rPr>
                    <w:t>.</w:t>
                  </w:r>
                </w:p>
              </w:tc>
            </w:tr>
          </w:tbl>
          <w:p w14:paraId="55DB2A59" w14:textId="77777777" w:rsidR="00816196" w:rsidRPr="004D6136" w:rsidRDefault="00816196" w:rsidP="00816196">
            <w:pPr>
              <w:spacing w:after="0" w:line="276" w:lineRule="auto"/>
              <w:jc w:val="both"/>
              <w:rPr>
                <w:rFonts w:ascii="Times New Roman" w:hAnsi="Times New Roman" w:cs="Times New Roman"/>
                <w:bCs/>
                <w:color w:val="000000" w:themeColor="text1"/>
                <w:lang w:val="ro-MD"/>
              </w:rPr>
            </w:pPr>
          </w:p>
        </w:tc>
        <w:tc>
          <w:tcPr>
            <w:tcW w:w="585" w:type="pct"/>
          </w:tcPr>
          <w:p w14:paraId="53F48461" w14:textId="3158A435" w:rsidR="00816196" w:rsidRPr="004D6136" w:rsidRDefault="009058FD" w:rsidP="00816196">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compatibil</w:t>
            </w:r>
          </w:p>
        </w:tc>
        <w:tc>
          <w:tcPr>
            <w:tcW w:w="1261" w:type="pct"/>
          </w:tcPr>
          <w:p w14:paraId="6687543A" w14:textId="77777777" w:rsidR="00816196" w:rsidRPr="004D6136" w:rsidRDefault="00816196" w:rsidP="00816196">
            <w:pPr>
              <w:spacing w:line="276" w:lineRule="auto"/>
              <w:jc w:val="both"/>
              <w:rPr>
                <w:rFonts w:ascii="Times New Roman" w:hAnsi="Times New Roman" w:cs="Times New Roman"/>
                <w:bCs/>
                <w:color w:val="000000" w:themeColor="text1"/>
                <w:lang w:val="ro-MD"/>
              </w:rPr>
            </w:pPr>
          </w:p>
        </w:tc>
      </w:tr>
      <w:tr w:rsidR="00816196" w:rsidRPr="004D6136" w14:paraId="15B88D4E" w14:textId="77777777" w:rsidTr="000A2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4668C8F1" w14:textId="3B0FF819" w:rsidR="00816196" w:rsidRPr="004D6136" w:rsidRDefault="00816196" w:rsidP="00816196">
            <w:pPr>
              <w:spacing w:after="0" w:line="276" w:lineRule="auto"/>
              <w:jc w:val="both"/>
              <w:rPr>
                <w:rFonts w:ascii="Times New Roman" w:hAnsi="Times New Roman" w:cs="Times New Roman"/>
                <w:b/>
                <w:color w:val="000000" w:themeColor="text1"/>
                <w:lang w:val="ro-MD"/>
              </w:rPr>
            </w:pPr>
            <w:r w:rsidRPr="004D6136">
              <w:rPr>
                <w:rFonts w:ascii="Times New Roman" w:hAnsi="Times New Roman" w:cs="Times New Roman"/>
                <w:bCs/>
                <w:color w:val="000000" w:themeColor="text1"/>
                <w:lang w:val="ro-MD"/>
              </w:rPr>
              <w:t>▼</w:t>
            </w:r>
            <w:r w:rsidRPr="004D6136">
              <w:rPr>
                <w:rFonts w:ascii="Times New Roman" w:hAnsi="Times New Roman" w:cs="Times New Roman"/>
                <w:b/>
                <w:color w:val="000000" w:themeColor="text1"/>
                <w:lang w:val="ro-MD"/>
              </w:rPr>
              <w:t>M8</w:t>
            </w:r>
          </w:p>
          <w:p w14:paraId="1D993B34" w14:textId="6EADBCE8" w:rsidR="00816196" w:rsidRPr="004D6136" w:rsidRDefault="00816196" w:rsidP="00816196">
            <w:pPr>
              <w:spacing w:after="0" w:line="276" w:lineRule="auto"/>
              <w:jc w:val="both"/>
              <w:rPr>
                <w:rFonts w:ascii="Times New Roman" w:hAnsi="Times New Roman" w:cs="Times New Roman"/>
                <w:b/>
                <w:color w:val="000000" w:themeColor="text1"/>
                <w:lang w:val="ro-MD"/>
              </w:rPr>
            </w:pPr>
            <w:r w:rsidRPr="004D6136">
              <w:rPr>
                <w:rFonts w:ascii="Times New Roman" w:hAnsi="Times New Roman" w:cs="Times New Roman"/>
                <w:b/>
                <w:color w:val="000000" w:themeColor="text1"/>
                <w:lang w:val="ro-MD"/>
              </w:rPr>
              <w:t>Articolul 429b</w:t>
            </w:r>
          </w:p>
          <w:p w14:paraId="1D5735A5" w14:textId="1A350AB7"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
                <w:color w:val="000000" w:themeColor="text1"/>
                <w:lang w:val="ro-MD"/>
              </w:rPr>
              <w:t>Calculul valorii expunerii activelor</w:t>
            </w:r>
          </w:p>
        </w:tc>
        <w:tc>
          <w:tcPr>
            <w:tcW w:w="1557" w:type="pct"/>
          </w:tcPr>
          <w:p w14:paraId="35B1BA42" w14:textId="09042B23" w:rsidR="00816196" w:rsidRPr="004D6136" w:rsidRDefault="001732B3" w:rsidP="00816196">
            <w:pPr>
              <w:spacing w:after="0" w:line="276" w:lineRule="auto"/>
              <w:jc w:val="both"/>
              <w:rPr>
                <w:rFonts w:ascii="Times New Roman" w:hAnsi="Times New Roman" w:cs="Times New Roman"/>
                <w:b/>
                <w:color w:val="000000" w:themeColor="text1"/>
                <w:lang w:val="ro-MD"/>
              </w:rPr>
            </w:pPr>
            <w:bookmarkStart w:id="15" w:name="_Hlk188368128"/>
            <w:r w:rsidRPr="004D6136">
              <w:rPr>
                <w:rFonts w:ascii="Times New Roman" w:hAnsi="Times New Roman" w:cs="Times New Roman"/>
                <w:b/>
                <w:color w:val="000000" w:themeColor="text1"/>
                <w:lang w:val="ro-MD"/>
              </w:rPr>
              <w:t>Secțiunea 4</w:t>
            </w:r>
            <w:r w:rsidR="00BD2CA2" w:rsidRPr="004D6136">
              <w:rPr>
                <w:rFonts w:ascii="Times New Roman" w:hAnsi="Times New Roman" w:cs="Times New Roman"/>
                <w:b/>
                <w:color w:val="000000" w:themeColor="text1"/>
                <w:lang w:val="ro-MD"/>
              </w:rPr>
              <w:t xml:space="preserve"> </w:t>
            </w:r>
            <w:r w:rsidR="005C78E6" w:rsidRPr="004D6136">
              <w:rPr>
                <w:rFonts w:ascii="Times New Roman" w:hAnsi="Times New Roman" w:cs="Times New Roman"/>
                <w:b/>
                <w:color w:val="000000" w:themeColor="text1"/>
                <w:lang w:val="ro-MD"/>
              </w:rPr>
              <w:t>Calculul valorii expunerii activelor</w:t>
            </w:r>
            <w:bookmarkEnd w:id="15"/>
          </w:p>
        </w:tc>
        <w:tc>
          <w:tcPr>
            <w:tcW w:w="585" w:type="pct"/>
          </w:tcPr>
          <w:p w14:paraId="7E433C1B" w14:textId="77777777" w:rsidR="00816196" w:rsidRPr="004D6136" w:rsidRDefault="00816196" w:rsidP="00816196">
            <w:pPr>
              <w:spacing w:line="276" w:lineRule="auto"/>
              <w:jc w:val="both"/>
              <w:rPr>
                <w:rFonts w:ascii="Times New Roman" w:hAnsi="Times New Roman" w:cs="Times New Roman"/>
                <w:bCs/>
                <w:color w:val="000000" w:themeColor="text1"/>
                <w:lang w:val="ro-MD"/>
              </w:rPr>
            </w:pPr>
          </w:p>
        </w:tc>
        <w:tc>
          <w:tcPr>
            <w:tcW w:w="1261" w:type="pct"/>
          </w:tcPr>
          <w:p w14:paraId="7465D89C" w14:textId="77777777" w:rsidR="00816196" w:rsidRPr="004D6136" w:rsidRDefault="00816196" w:rsidP="00816196">
            <w:pPr>
              <w:spacing w:line="276" w:lineRule="auto"/>
              <w:jc w:val="both"/>
              <w:rPr>
                <w:rFonts w:ascii="Times New Roman" w:hAnsi="Times New Roman" w:cs="Times New Roman"/>
                <w:bCs/>
                <w:color w:val="000000" w:themeColor="text1"/>
                <w:lang w:val="ro-MD"/>
              </w:rPr>
            </w:pPr>
          </w:p>
        </w:tc>
      </w:tr>
      <w:tr w:rsidR="00816196" w:rsidRPr="004D6136" w14:paraId="001BB28A" w14:textId="77777777" w:rsidTr="00B97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4239B195" w14:textId="77777777"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(1)   Instituțiile calculează valoarea expunerii activelor, exceptând contractele derivate enumerate în anexa II, </w:t>
            </w:r>
            <w:r w:rsidRPr="004D6136">
              <w:rPr>
                <w:rFonts w:ascii="Times New Roman" w:hAnsi="Times New Roman" w:cs="Times New Roman"/>
                <w:bCs/>
                <w:color w:val="000000" w:themeColor="text1"/>
                <w:lang w:val="ro-MD"/>
              </w:rPr>
              <w:lastRenderedPageBreak/>
              <w:t>instrumentele financiare derivate de credit și pozițiile prevăzute la articolul 429e, în conformitate cu următoarele principii:</w:t>
            </w:r>
          </w:p>
          <w:p w14:paraId="71C34555" w14:textId="12E42258"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(a) valoarea expunerii activelor înseamnă o valoare a expunerii astfel cum este prevăzută la articolul 111 alineatul (1) prima teză;</w:t>
            </w:r>
          </w:p>
          <w:p w14:paraId="75C77653" w14:textId="2405F065"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(b) operațiunile de finanțare prin titluri de valoare nu sunt compensate.</w:t>
            </w:r>
          </w:p>
        </w:tc>
        <w:tc>
          <w:tcPr>
            <w:tcW w:w="1557" w:type="pct"/>
            <w:shd w:val="clear" w:color="auto" w:fill="auto"/>
          </w:tcPr>
          <w:p w14:paraId="0026B204" w14:textId="19D63577"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2</w:t>
            </w:r>
            <w:r w:rsidR="00811DCB" w:rsidRPr="004D6136">
              <w:rPr>
                <w:rFonts w:ascii="Times New Roman" w:hAnsi="Times New Roman" w:cs="Times New Roman"/>
                <w:bCs/>
                <w:color w:val="000000" w:themeColor="text1"/>
                <w:lang w:val="ro-MD"/>
              </w:rPr>
              <w:t>4</w:t>
            </w:r>
            <w:r w:rsidRPr="004D6136">
              <w:rPr>
                <w:rFonts w:ascii="Times New Roman" w:hAnsi="Times New Roman" w:cs="Times New Roman"/>
                <w:bCs/>
                <w:color w:val="000000" w:themeColor="text1"/>
                <w:lang w:val="ro-MD"/>
              </w:rPr>
              <w:t xml:space="preserve">.   Băncile calculează valoarea expunerii activelor, exceptând contractele derivate enumerate în anexa </w:t>
            </w:r>
            <w:r w:rsidRPr="004D6136">
              <w:rPr>
                <w:rFonts w:ascii="Times New Roman" w:hAnsi="Times New Roman" w:cs="Times New Roman"/>
                <w:bCs/>
                <w:color w:val="000000" w:themeColor="text1"/>
                <w:lang w:val="ro-MD"/>
              </w:rPr>
              <w:lastRenderedPageBreak/>
              <w:t>nr.1 din Regulamentul nr.114/2018, instrumentele financiare derivate de credit și pozițiile prevăzute la secțiunea 7, în conformitate cu următoarele principii:</w:t>
            </w:r>
          </w:p>
          <w:p w14:paraId="6787F414" w14:textId="77AE8BB0"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2</w:t>
            </w:r>
            <w:r w:rsidR="00811DCB" w:rsidRPr="004D6136">
              <w:rPr>
                <w:rFonts w:ascii="Times New Roman" w:hAnsi="Times New Roman" w:cs="Times New Roman"/>
                <w:bCs/>
                <w:color w:val="000000" w:themeColor="text1"/>
                <w:lang w:val="ro-MD"/>
              </w:rPr>
              <w:t>4</w:t>
            </w:r>
            <w:r w:rsidRPr="004D6136">
              <w:rPr>
                <w:rFonts w:ascii="Times New Roman" w:hAnsi="Times New Roman" w:cs="Times New Roman"/>
                <w:bCs/>
                <w:color w:val="000000" w:themeColor="text1"/>
                <w:lang w:val="ro-MD"/>
              </w:rPr>
              <w:t>.1. valoarea expunerii activelor înseamnă o valoare a expunerii astfel cum este prevăzută la pct.5 din Re</w:t>
            </w:r>
            <w:r w:rsidR="004C720B" w:rsidRPr="004D6136">
              <w:rPr>
                <w:rFonts w:ascii="Times New Roman" w:hAnsi="Times New Roman" w:cs="Times New Roman"/>
                <w:bCs/>
                <w:color w:val="000000" w:themeColor="text1"/>
                <w:lang w:val="ro-MD"/>
              </w:rPr>
              <w:t>g</w:t>
            </w:r>
            <w:r w:rsidRPr="004D6136">
              <w:rPr>
                <w:rFonts w:ascii="Times New Roman" w:hAnsi="Times New Roman" w:cs="Times New Roman"/>
                <w:bCs/>
                <w:color w:val="000000" w:themeColor="text1"/>
                <w:lang w:val="ro-MD"/>
              </w:rPr>
              <w:t>ulamentul nr.111/2018;</w:t>
            </w:r>
          </w:p>
          <w:p w14:paraId="001335DB" w14:textId="7E31E1E9"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2</w:t>
            </w:r>
            <w:r w:rsidR="00811DCB" w:rsidRPr="004D6136">
              <w:rPr>
                <w:rFonts w:ascii="Times New Roman" w:hAnsi="Times New Roman" w:cs="Times New Roman"/>
                <w:bCs/>
                <w:color w:val="000000" w:themeColor="text1"/>
                <w:lang w:val="ro-MD"/>
              </w:rPr>
              <w:t>4</w:t>
            </w:r>
            <w:r w:rsidRPr="004D6136">
              <w:rPr>
                <w:rFonts w:ascii="Times New Roman" w:hAnsi="Times New Roman" w:cs="Times New Roman"/>
                <w:bCs/>
                <w:color w:val="000000" w:themeColor="text1"/>
                <w:lang w:val="ro-MD"/>
              </w:rPr>
              <w:t>.2. operațiunile de finanțare prin titluri de valoare nu sunt compensate.</w:t>
            </w:r>
          </w:p>
        </w:tc>
        <w:tc>
          <w:tcPr>
            <w:tcW w:w="585" w:type="pct"/>
          </w:tcPr>
          <w:p w14:paraId="7C05D504" w14:textId="030146A2" w:rsidR="00816196" w:rsidRPr="004D6136" w:rsidRDefault="009058FD" w:rsidP="00816196">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compatibil</w:t>
            </w:r>
          </w:p>
        </w:tc>
        <w:tc>
          <w:tcPr>
            <w:tcW w:w="1261" w:type="pct"/>
          </w:tcPr>
          <w:p w14:paraId="06C9FF15" w14:textId="77777777" w:rsidR="00816196" w:rsidRPr="004D6136" w:rsidRDefault="00816196" w:rsidP="00816196">
            <w:pPr>
              <w:spacing w:line="276" w:lineRule="auto"/>
              <w:jc w:val="both"/>
              <w:rPr>
                <w:rFonts w:ascii="Times New Roman" w:hAnsi="Times New Roman" w:cs="Times New Roman"/>
                <w:bCs/>
                <w:color w:val="000000" w:themeColor="text1"/>
                <w:lang w:val="ro-MD"/>
              </w:rPr>
            </w:pPr>
          </w:p>
        </w:tc>
      </w:tr>
      <w:tr w:rsidR="00816196" w:rsidRPr="004D6136" w14:paraId="5FDAD748" w14:textId="77777777" w:rsidTr="00B97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0DE7A73E" w14:textId="77777777"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(2)   Un acord de tipul „cash </w:t>
            </w:r>
            <w:proofErr w:type="spellStart"/>
            <w:r w:rsidRPr="004D6136">
              <w:rPr>
                <w:rFonts w:ascii="Times New Roman" w:hAnsi="Times New Roman" w:cs="Times New Roman"/>
                <w:bCs/>
                <w:color w:val="000000" w:themeColor="text1"/>
                <w:lang w:val="ro-MD"/>
              </w:rPr>
              <w:t>pooling</w:t>
            </w:r>
            <w:proofErr w:type="spellEnd"/>
            <w:r w:rsidRPr="004D6136">
              <w:rPr>
                <w:rFonts w:ascii="Times New Roman" w:hAnsi="Times New Roman" w:cs="Times New Roman"/>
                <w:bCs/>
                <w:color w:val="000000" w:themeColor="text1"/>
                <w:lang w:val="ro-MD"/>
              </w:rPr>
              <w:t>” oferit de o instituție nu încalcă condiția prevăzută la articolul 429 alineatul (7) litera (b) numai în cazul în care acordul îndeplinește cumulativ următoarele două condiții:</w:t>
            </w:r>
          </w:p>
          <w:p w14:paraId="1BB39E67" w14:textId="1FCDC861"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(a) instituția care oferă acordul de tipul „cash </w:t>
            </w:r>
            <w:proofErr w:type="spellStart"/>
            <w:r w:rsidRPr="004D6136">
              <w:rPr>
                <w:rFonts w:ascii="Times New Roman" w:hAnsi="Times New Roman" w:cs="Times New Roman"/>
                <w:bCs/>
                <w:color w:val="000000" w:themeColor="text1"/>
                <w:lang w:val="ro-MD"/>
              </w:rPr>
              <w:t>pooling</w:t>
            </w:r>
            <w:proofErr w:type="spellEnd"/>
            <w:r w:rsidRPr="004D6136">
              <w:rPr>
                <w:rFonts w:ascii="Times New Roman" w:hAnsi="Times New Roman" w:cs="Times New Roman"/>
                <w:bCs/>
                <w:color w:val="000000" w:themeColor="text1"/>
                <w:lang w:val="ro-MD"/>
              </w:rPr>
              <w:t>” transferă soldurile creditoare și soldurile debitoare ale mai multor conturi individuale ale unui grup de entități acoperite de acord („conturi inițiale”) într-un cont unic, distinct, aducând astfel soldurile conturilor inițiale la zero;</w:t>
            </w:r>
          </w:p>
          <w:p w14:paraId="76A24F34" w14:textId="348CFE6A"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(b) instituția realizează acțiunile menționate la prezentul paragraf litera (a) în fiecare zi.</w:t>
            </w:r>
          </w:p>
          <w:p w14:paraId="654AA8A4" w14:textId="4BC56D3C"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În sensul prezentului alineat și al alineatului (3), un acord de tipul „cash </w:t>
            </w:r>
            <w:proofErr w:type="spellStart"/>
            <w:r w:rsidRPr="004D6136">
              <w:rPr>
                <w:rFonts w:ascii="Times New Roman" w:hAnsi="Times New Roman" w:cs="Times New Roman"/>
                <w:bCs/>
                <w:color w:val="000000" w:themeColor="text1"/>
                <w:lang w:val="ro-MD"/>
              </w:rPr>
              <w:t>pooling</w:t>
            </w:r>
            <w:proofErr w:type="spellEnd"/>
            <w:r w:rsidRPr="004D6136">
              <w:rPr>
                <w:rFonts w:ascii="Times New Roman" w:hAnsi="Times New Roman" w:cs="Times New Roman"/>
                <w:bCs/>
                <w:color w:val="000000" w:themeColor="text1"/>
                <w:lang w:val="ro-MD"/>
              </w:rPr>
              <w:t>” înseamnă, un acord prin care soldurile creditoare sau soldurile debitoare ale mai multor conturi individuale sunt combinate în scopul gestionării numerarului sau a lichidităților.</w:t>
            </w:r>
          </w:p>
        </w:tc>
        <w:tc>
          <w:tcPr>
            <w:tcW w:w="1557" w:type="pct"/>
            <w:shd w:val="clear" w:color="auto" w:fill="auto"/>
          </w:tcPr>
          <w:p w14:paraId="04017A49" w14:textId="58312EAD" w:rsidR="00816196" w:rsidRPr="004D6136" w:rsidRDefault="005C78E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2</w:t>
            </w:r>
            <w:r w:rsidR="00811DCB" w:rsidRPr="004D6136">
              <w:rPr>
                <w:rFonts w:ascii="Times New Roman" w:hAnsi="Times New Roman" w:cs="Times New Roman"/>
                <w:bCs/>
                <w:color w:val="000000" w:themeColor="text1"/>
                <w:lang w:val="ro-MD"/>
              </w:rPr>
              <w:t>5</w:t>
            </w:r>
            <w:r w:rsidR="00816196" w:rsidRPr="004D6136">
              <w:rPr>
                <w:rFonts w:ascii="Times New Roman" w:hAnsi="Times New Roman" w:cs="Times New Roman"/>
                <w:bCs/>
                <w:color w:val="000000" w:themeColor="text1"/>
                <w:lang w:val="ro-MD"/>
              </w:rPr>
              <w:t xml:space="preserve">.   Un acord de tipul „cash </w:t>
            </w:r>
            <w:proofErr w:type="spellStart"/>
            <w:r w:rsidR="00816196" w:rsidRPr="004D6136">
              <w:rPr>
                <w:rFonts w:ascii="Times New Roman" w:hAnsi="Times New Roman" w:cs="Times New Roman"/>
                <w:bCs/>
                <w:color w:val="000000" w:themeColor="text1"/>
                <w:lang w:val="ro-MD"/>
              </w:rPr>
              <w:t>pooling</w:t>
            </w:r>
            <w:proofErr w:type="spellEnd"/>
            <w:r w:rsidR="00816196" w:rsidRPr="004D6136">
              <w:rPr>
                <w:rFonts w:ascii="Times New Roman" w:hAnsi="Times New Roman" w:cs="Times New Roman"/>
                <w:bCs/>
                <w:color w:val="000000" w:themeColor="text1"/>
                <w:lang w:val="ro-MD"/>
              </w:rPr>
              <w:t>” oferit de o bancă nu încalcă condiția prevăzută la subpct.1</w:t>
            </w:r>
            <w:r w:rsidR="004C720B" w:rsidRPr="004D6136">
              <w:rPr>
                <w:rFonts w:ascii="Times New Roman" w:hAnsi="Times New Roman" w:cs="Times New Roman"/>
                <w:bCs/>
                <w:color w:val="000000" w:themeColor="text1"/>
                <w:lang w:val="ro-MD"/>
              </w:rPr>
              <w:t>6</w:t>
            </w:r>
            <w:r w:rsidR="00816196" w:rsidRPr="004D6136">
              <w:rPr>
                <w:rFonts w:ascii="Times New Roman" w:hAnsi="Times New Roman" w:cs="Times New Roman"/>
                <w:bCs/>
                <w:color w:val="000000" w:themeColor="text1"/>
                <w:lang w:val="ro-MD"/>
              </w:rPr>
              <w:t>.2 numai în cazul în care acordul îndeplinește cumulativ următoarele două condiții:</w:t>
            </w:r>
          </w:p>
          <w:p w14:paraId="47BCFDB6" w14:textId="19F1F514" w:rsidR="00816196" w:rsidRPr="004D6136" w:rsidRDefault="005C78E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2</w:t>
            </w:r>
            <w:r w:rsidR="00E42428" w:rsidRPr="004D6136">
              <w:rPr>
                <w:rFonts w:ascii="Times New Roman" w:hAnsi="Times New Roman" w:cs="Times New Roman"/>
                <w:bCs/>
                <w:color w:val="000000" w:themeColor="text1"/>
                <w:lang w:val="ro-MD"/>
              </w:rPr>
              <w:t>5</w:t>
            </w:r>
            <w:r w:rsidR="00816196" w:rsidRPr="004D6136">
              <w:rPr>
                <w:rFonts w:ascii="Times New Roman" w:hAnsi="Times New Roman" w:cs="Times New Roman"/>
                <w:bCs/>
                <w:color w:val="000000" w:themeColor="text1"/>
                <w:lang w:val="ro-MD"/>
              </w:rPr>
              <w:t xml:space="preserve">.1. banca care oferă acordul de tipul „cash </w:t>
            </w:r>
            <w:proofErr w:type="spellStart"/>
            <w:r w:rsidR="00816196" w:rsidRPr="004D6136">
              <w:rPr>
                <w:rFonts w:ascii="Times New Roman" w:hAnsi="Times New Roman" w:cs="Times New Roman"/>
                <w:bCs/>
                <w:color w:val="000000" w:themeColor="text1"/>
                <w:lang w:val="ro-MD"/>
              </w:rPr>
              <w:t>pooling</w:t>
            </w:r>
            <w:proofErr w:type="spellEnd"/>
            <w:r w:rsidR="00816196" w:rsidRPr="004D6136">
              <w:rPr>
                <w:rFonts w:ascii="Times New Roman" w:hAnsi="Times New Roman" w:cs="Times New Roman"/>
                <w:bCs/>
                <w:color w:val="000000" w:themeColor="text1"/>
                <w:lang w:val="ro-MD"/>
              </w:rPr>
              <w:t>” transferă soldurile creditoare și soldurile debitoare ale mai multor conturi individuale ale unui grup de entități acoperite de acord („conturi inițiale”) într-un cont unic, distinct, aducând astfel soldurile conturilor inițiale la zero;</w:t>
            </w:r>
          </w:p>
          <w:p w14:paraId="385E1BFD" w14:textId="4FB470E3" w:rsidR="00816196" w:rsidRPr="004D6136" w:rsidRDefault="005C78E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2</w:t>
            </w:r>
            <w:r w:rsidR="00E42428" w:rsidRPr="004D6136">
              <w:rPr>
                <w:rFonts w:ascii="Times New Roman" w:hAnsi="Times New Roman" w:cs="Times New Roman"/>
                <w:bCs/>
                <w:color w:val="000000" w:themeColor="text1"/>
                <w:lang w:val="ro-MD"/>
              </w:rPr>
              <w:t>5</w:t>
            </w:r>
            <w:r w:rsidR="00816196" w:rsidRPr="004D6136">
              <w:rPr>
                <w:rFonts w:ascii="Times New Roman" w:hAnsi="Times New Roman" w:cs="Times New Roman"/>
                <w:bCs/>
                <w:color w:val="000000" w:themeColor="text1"/>
                <w:lang w:val="ro-MD"/>
              </w:rPr>
              <w:t>.2. banca realizează acțiunile menționate la subpct.</w:t>
            </w:r>
            <w:r w:rsidRPr="004D6136">
              <w:rPr>
                <w:rFonts w:ascii="Times New Roman" w:hAnsi="Times New Roman" w:cs="Times New Roman"/>
                <w:bCs/>
                <w:color w:val="000000" w:themeColor="text1"/>
                <w:lang w:val="ro-MD"/>
              </w:rPr>
              <w:t>2</w:t>
            </w:r>
            <w:r w:rsidR="00E42428" w:rsidRPr="004D6136">
              <w:rPr>
                <w:rFonts w:ascii="Times New Roman" w:hAnsi="Times New Roman" w:cs="Times New Roman"/>
                <w:bCs/>
                <w:color w:val="000000" w:themeColor="text1"/>
                <w:lang w:val="ro-MD"/>
              </w:rPr>
              <w:t>5</w:t>
            </w:r>
            <w:r w:rsidRPr="004D6136">
              <w:rPr>
                <w:rFonts w:ascii="Times New Roman" w:hAnsi="Times New Roman" w:cs="Times New Roman"/>
                <w:bCs/>
                <w:color w:val="000000" w:themeColor="text1"/>
                <w:lang w:val="ro-MD"/>
              </w:rPr>
              <w:t>.</w:t>
            </w:r>
            <w:r w:rsidR="00816196" w:rsidRPr="004D6136">
              <w:rPr>
                <w:rFonts w:ascii="Times New Roman" w:hAnsi="Times New Roman" w:cs="Times New Roman"/>
                <w:bCs/>
                <w:color w:val="000000" w:themeColor="text1"/>
                <w:lang w:val="ro-MD"/>
              </w:rPr>
              <w:t>1 în fiecare zi.</w:t>
            </w:r>
          </w:p>
          <w:p w14:paraId="7C347F3B" w14:textId="114CEA00" w:rsidR="00816196" w:rsidRPr="004D6136" w:rsidRDefault="009058FD"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2</w:t>
            </w:r>
            <w:r w:rsidR="00E42428" w:rsidRPr="004D6136">
              <w:rPr>
                <w:rFonts w:ascii="Times New Roman" w:hAnsi="Times New Roman" w:cs="Times New Roman"/>
                <w:bCs/>
                <w:color w:val="000000" w:themeColor="text1"/>
                <w:lang w:val="ro-MD"/>
              </w:rPr>
              <w:t>6</w:t>
            </w:r>
            <w:r w:rsidR="00816196" w:rsidRPr="004D6136">
              <w:rPr>
                <w:rFonts w:ascii="Times New Roman" w:hAnsi="Times New Roman" w:cs="Times New Roman"/>
                <w:bCs/>
                <w:color w:val="000000" w:themeColor="text1"/>
                <w:lang w:val="ro-MD"/>
              </w:rPr>
              <w:t>. În sensul</w:t>
            </w:r>
            <w:r w:rsidR="00632C0E" w:rsidRPr="004D6136">
              <w:rPr>
                <w:rFonts w:ascii="Times New Roman" w:hAnsi="Times New Roman" w:cs="Times New Roman"/>
                <w:bCs/>
                <w:color w:val="000000" w:themeColor="text1"/>
                <w:lang w:val="ro-MD"/>
              </w:rPr>
              <w:t xml:space="preserve"> </w:t>
            </w:r>
            <w:r w:rsidR="00816196" w:rsidRPr="004D6136">
              <w:rPr>
                <w:rFonts w:ascii="Times New Roman" w:hAnsi="Times New Roman" w:cs="Times New Roman"/>
                <w:bCs/>
                <w:color w:val="000000" w:themeColor="text1"/>
                <w:lang w:val="ro-MD"/>
              </w:rPr>
              <w:t>pct.</w:t>
            </w:r>
            <w:r w:rsidRPr="004D6136">
              <w:rPr>
                <w:rFonts w:ascii="Times New Roman" w:hAnsi="Times New Roman" w:cs="Times New Roman"/>
                <w:bCs/>
                <w:color w:val="000000" w:themeColor="text1"/>
                <w:lang w:val="ro-MD"/>
              </w:rPr>
              <w:t>2</w:t>
            </w:r>
            <w:r w:rsidR="00E42428" w:rsidRPr="004D6136">
              <w:rPr>
                <w:rFonts w:ascii="Times New Roman" w:hAnsi="Times New Roman" w:cs="Times New Roman"/>
                <w:bCs/>
                <w:color w:val="000000" w:themeColor="text1"/>
                <w:lang w:val="ro-MD"/>
              </w:rPr>
              <w:t>5</w:t>
            </w:r>
            <w:r w:rsidR="00816196" w:rsidRPr="004D6136">
              <w:rPr>
                <w:rFonts w:ascii="Times New Roman" w:hAnsi="Times New Roman" w:cs="Times New Roman"/>
                <w:bCs/>
                <w:color w:val="000000" w:themeColor="text1"/>
                <w:lang w:val="ro-MD"/>
              </w:rPr>
              <w:t xml:space="preserve"> și </w:t>
            </w:r>
            <w:r w:rsidRPr="004D6136">
              <w:rPr>
                <w:rFonts w:ascii="Times New Roman" w:hAnsi="Times New Roman" w:cs="Times New Roman"/>
                <w:bCs/>
                <w:color w:val="000000" w:themeColor="text1"/>
                <w:lang w:val="ro-MD"/>
              </w:rPr>
              <w:t>2</w:t>
            </w:r>
            <w:r w:rsidR="00E42428" w:rsidRPr="004D6136">
              <w:rPr>
                <w:rFonts w:ascii="Times New Roman" w:hAnsi="Times New Roman" w:cs="Times New Roman"/>
                <w:bCs/>
                <w:color w:val="000000" w:themeColor="text1"/>
                <w:lang w:val="ro-MD"/>
              </w:rPr>
              <w:t>7</w:t>
            </w:r>
            <w:r w:rsidR="00816196" w:rsidRPr="004D6136">
              <w:rPr>
                <w:rFonts w:ascii="Times New Roman" w:hAnsi="Times New Roman" w:cs="Times New Roman"/>
                <w:bCs/>
                <w:color w:val="000000" w:themeColor="text1"/>
                <w:lang w:val="ro-MD"/>
              </w:rPr>
              <w:t xml:space="preserve">, un acord de tipul „cash </w:t>
            </w:r>
            <w:proofErr w:type="spellStart"/>
            <w:r w:rsidR="00816196" w:rsidRPr="004D6136">
              <w:rPr>
                <w:rFonts w:ascii="Times New Roman" w:hAnsi="Times New Roman" w:cs="Times New Roman"/>
                <w:bCs/>
                <w:color w:val="000000" w:themeColor="text1"/>
                <w:lang w:val="ro-MD"/>
              </w:rPr>
              <w:t>pooling</w:t>
            </w:r>
            <w:proofErr w:type="spellEnd"/>
            <w:r w:rsidR="00816196" w:rsidRPr="004D6136">
              <w:rPr>
                <w:rFonts w:ascii="Times New Roman" w:hAnsi="Times New Roman" w:cs="Times New Roman"/>
                <w:bCs/>
                <w:color w:val="000000" w:themeColor="text1"/>
                <w:lang w:val="ro-MD"/>
              </w:rPr>
              <w:t>” înseamnă, un acord prin care soldurile creditoare sau soldurile debitoare ale mai multor conturi individuale sunt combinate în scopul gestionării numerarului sau a lichidităților.</w:t>
            </w:r>
          </w:p>
        </w:tc>
        <w:tc>
          <w:tcPr>
            <w:tcW w:w="585" w:type="pct"/>
          </w:tcPr>
          <w:p w14:paraId="0501EA9B" w14:textId="6439874F" w:rsidR="00816196" w:rsidRPr="004D6136" w:rsidRDefault="009058FD" w:rsidP="00816196">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compatibil</w:t>
            </w:r>
          </w:p>
        </w:tc>
        <w:tc>
          <w:tcPr>
            <w:tcW w:w="1261" w:type="pct"/>
          </w:tcPr>
          <w:p w14:paraId="3591ECA3" w14:textId="77777777" w:rsidR="00816196" w:rsidRPr="004D6136" w:rsidRDefault="00816196" w:rsidP="00816196">
            <w:pPr>
              <w:spacing w:line="276" w:lineRule="auto"/>
              <w:jc w:val="both"/>
              <w:rPr>
                <w:rFonts w:ascii="Times New Roman" w:hAnsi="Times New Roman" w:cs="Times New Roman"/>
                <w:bCs/>
                <w:color w:val="000000" w:themeColor="text1"/>
                <w:lang w:val="ro-MD"/>
              </w:rPr>
            </w:pPr>
          </w:p>
        </w:tc>
      </w:tr>
      <w:tr w:rsidR="00816196" w:rsidRPr="004D6136" w14:paraId="3888DF82" w14:textId="77777777" w:rsidTr="00B97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7BB175A6" w14:textId="77777777"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 xml:space="preserve">(3)   Prin derogare de la alineatul (2) din prezentul articol, un acord de tipul „cash </w:t>
            </w:r>
            <w:proofErr w:type="spellStart"/>
            <w:r w:rsidRPr="004D6136">
              <w:rPr>
                <w:rFonts w:ascii="Times New Roman" w:hAnsi="Times New Roman" w:cs="Times New Roman"/>
                <w:bCs/>
                <w:color w:val="000000" w:themeColor="text1"/>
                <w:lang w:val="ro-MD"/>
              </w:rPr>
              <w:t>pooling</w:t>
            </w:r>
            <w:proofErr w:type="spellEnd"/>
            <w:r w:rsidRPr="004D6136">
              <w:rPr>
                <w:rFonts w:ascii="Times New Roman" w:hAnsi="Times New Roman" w:cs="Times New Roman"/>
                <w:bCs/>
                <w:color w:val="000000" w:themeColor="text1"/>
                <w:lang w:val="ro-MD"/>
              </w:rPr>
              <w:t>” care nu îndeplinește condiția prevăzută la litera (b) de la alineatul menționat, dar îndeplinește condiția prevăzută la litera (a) de la același alineat nu constituie o încălcare a condiției prevăzute la articolul 429 alineatul (7) litera (b) în cazul în care acordul îndeplinește cumulativ următoarele condiții:</w:t>
            </w:r>
          </w:p>
          <w:p w14:paraId="6AADDE9D" w14:textId="3CC9FFCF"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(a) instituția are un drept executoriu din punct de vedere juridic de a compensa soldurile conturilor inițiale printr-un transfer într-un cont unic, în orice moment;</w:t>
            </w:r>
          </w:p>
          <w:p w14:paraId="278EEE02" w14:textId="181480E8"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(b) nu există neconcordanțe de scadență între soldurile conturilor inițiale;</w:t>
            </w:r>
          </w:p>
          <w:p w14:paraId="7FEDE036" w14:textId="114043F0"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(c) instituția încasează sau plătește dobânzi pe baza soldului combinat al conturilor inițiale;</w:t>
            </w:r>
          </w:p>
          <w:p w14:paraId="3274E7FB" w14:textId="697B003D"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(d) autoritatea competentă a instituției consideră că frecvența cu care sunt transferate soldurile tuturor conturilor inițiale corespunde scopului de a include doar soldul combinat al acordului de tipul „cash </w:t>
            </w:r>
            <w:proofErr w:type="spellStart"/>
            <w:r w:rsidRPr="004D6136">
              <w:rPr>
                <w:rFonts w:ascii="Times New Roman" w:hAnsi="Times New Roman" w:cs="Times New Roman"/>
                <w:bCs/>
                <w:color w:val="000000" w:themeColor="text1"/>
                <w:lang w:val="ro-MD"/>
              </w:rPr>
              <w:t>pooling</w:t>
            </w:r>
            <w:proofErr w:type="spellEnd"/>
            <w:r w:rsidRPr="004D6136">
              <w:rPr>
                <w:rFonts w:ascii="Times New Roman" w:hAnsi="Times New Roman" w:cs="Times New Roman"/>
                <w:bCs/>
                <w:color w:val="000000" w:themeColor="text1"/>
                <w:lang w:val="ro-MD"/>
              </w:rPr>
              <w:t>” în indicatorul de măsurare a expunerii utilizat pentru calcularea expunerii totale.</w:t>
            </w:r>
          </w:p>
        </w:tc>
        <w:tc>
          <w:tcPr>
            <w:tcW w:w="1557" w:type="pct"/>
            <w:shd w:val="clear" w:color="auto" w:fill="auto"/>
          </w:tcPr>
          <w:p w14:paraId="65EE8677" w14:textId="76AFF1BC" w:rsidR="00816196" w:rsidRPr="004D6136" w:rsidRDefault="009058FD"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2</w:t>
            </w:r>
            <w:r w:rsidR="005B62E0" w:rsidRPr="004D6136">
              <w:rPr>
                <w:rFonts w:ascii="Times New Roman" w:hAnsi="Times New Roman" w:cs="Times New Roman"/>
                <w:bCs/>
                <w:color w:val="000000" w:themeColor="text1"/>
                <w:lang w:val="ro-MD"/>
              </w:rPr>
              <w:t>7</w:t>
            </w:r>
            <w:r w:rsidR="00816196" w:rsidRPr="004D6136">
              <w:rPr>
                <w:rFonts w:ascii="Times New Roman" w:hAnsi="Times New Roman" w:cs="Times New Roman"/>
                <w:bCs/>
                <w:color w:val="000000" w:themeColor="text1"/>
                <w:lang w:val="ro-MD"/>
              </w:rPr>
              <w:t>.   Prin derogare de la pct.</w:t>
            </w:r>
            <w:r w:rsidRPr="004D6136">
              <w:rPr>
                <w:rFonts w:ascii="Times New Roman" w:hAnsi="Times New Roman" w:cs="Times New Roman"/>
                <w:bCs/>
                <w:color w:val="000000" w:themeColor="text1"/>
                <w:lang w:val="ro-MD"/>
              </w:rPr>
              <w:t>2</w:t>
            </w:r>
            <w:r w:rsidR="005B62E0" w:rsidRPr="004D6136">
              <w:rPr>
                <w:rFonts w:ascii="Times New Roman" w:hAnsi="Times New Roman" w:cs="Times New Roman"/>
                <w:bCs/>
                <w:color w:val="000000" w:themeColor="text1"/>
                <w:lang w:val="ro-MD"/>
              </w:rPr>
              <w:t>5</w:t>
            </w:r>
            <w:r w:rsidRPr="004D6136">
              <w:rPr>
                <w:rFonts w:ascii="Times New Roman" w:hAnsi="Times New Roman" w:cs="Times New Roman"/>
                <w:bCs/>
                <w:color w:val="000000" w:themeColor="text1"/>
                <w:lang w:val="ro-MD"/>
              </w:rPr>
              <w:t>-2</w:t>
            </w:r>
            <w:r w:rsidR="005B62E0" w:rsidRPr="004D6136">
              <w:rPr>
                <w:rFonts w:ascii="Times New Roman" w:hAnsi="Times New Roman" w:cs="Times New Roman"/>
                <w:bCs/>
                <w:color w:val="000000" w:themeColor="text1"/>
                <w:lang w:val="ro-MD"/>
              </w:rPr>
              <w:t>6</w:t>
            </w:r>
            <w:r w:rsidR="00816196" w:rsidRPr="004D6136">
              <w:rPr>
                <w:rFonts w:ascii="Times New Roman" w:hAnsi="Times New Roman" w:cs="Times New Roman"/>
                <w:bCs/>
                <w:color w:val="000000" w:themeColor="text1"/>
                <w:lang w:val="ro-MD"/>
              </w:rPr>
              <w:t xml:space="preserve">, un acord de tipul „cash </w:t>
            </w:r>
            <w:proofErr w:type="spellStart"/>
            <w:r w:rsidR="00816196" w:rsidRPr="004D6136">
              <w:rPr>
                <w:rFonts w:ascii="Times New Roman" w:hAnsi="Times New Roman" w:cs="Times New Roman"/>
                <w:bCs/>
                <w:color w:val="000000" w:themeColor="text1"/>
                <w:lang w:val="ro-MD"/>
              </w:rPr>
              <w:t>pooling</w:t>
            </w:r>
            <w:proofErr w:type="spellEnd"/>
            <w:r w:rsidR="00816196" w:rsidRPr="004D6136">
              <w:rPr>
                <w:rFonts w:ascii="Times New Roman" w:hAnsi="Times New Roman" w:cs="Times New Roman"/>
                <w:bCs/>
                <w:color w:val="000000" w:themeColor="text1"/>
                <w:lang w:val="ro-MD"/>
              </w:rPr>
              <w:t>” care nu îndeplinește condiția prevăzută la subpct.</w:t>
            </w:r>
            <w:r w:rsidRPr="004D6136">
              <w:rPr>
                <w:rFonts w:ascii="Times New Roman" w:hAnsi="Times New Roman" w:cs="Times New Roman"/>
                <w:bCs/>
                <w:color w:val="000000" w:themeColor="text1"/>
                <w:lang w:val="ro-MD"/>
              </w:rPr>
              <w:t>2</w:t>
            </w:r>
            <w:r w:rsidR="005B62E0" w:rsidRPr="004D6136">
              <w:rPr>
                <w:rFonts w:ascii="Times New Roman" w:hAnsi="Times New Roman" w:cs="Times New Roman"/>
                <w:bCs/>
                <w:color w:val="000000" w:themeColor="text1"/>
                <w:lang w:val="ro-MD"/>
              </w:rPr>
              <w:t>5</w:t>
            </w:r>
            <w:r w:rsidR="00816196" w:rsidRPr="004D6136">
              <w:rPr>
                <w:rFonts w:ascii="Times New Roman" w:hAnsi="Times New Roman" w:cs="Times New Roman"/>
                <w:bCs/>
                <w:color w:val="000000" w:themeColor="text1"/>
                <w:lang w:val="ro-MD"/>
              </w:rPr>
              <w:t>.2, dar îndeplinește condiția prevăzută la subpct.</w:t>
            </w:r>
            <w:r w:rsidRPr="004D6136">
              <w:rPr>
                <w:rFonts w:ascii="Times New Roman" w:hAnsi="Times New Roman" w:cs="Times New Roman"/>
                <w:bCs/>
                <w:color w:val="000000" w:themeColor="text1"/>
                <w:lang w:val="ro-MD"/>
              </w:rPr>
              <w:t>2</w:t>
            </w:r>
            <w:r w:rsidR="005B62E0" w:rsidRPr="004D6136">
              <w:rPr>
                <w:rFonts w:ascii="Times New Roman" w:hAnsi="Times New Roman" w:cs="Times New Roman"/>
                <w:bCs/>
                <w:color w:val="000000" w:themeColor="text1"/>
                <w:lang w:val="ro-MD"/>
              </w:rPr>
              <w:t>5</w:t>
            </w:r>
            <w:r w:rsidR="00816196" w:rsidRPr="004D6136">
              <w:rPr>
                <w:rFonts w:ascii="Times New Roman" w:hAnsi="Times New Roman" w:cs="Times New Roman"/>
                <w:bCs/>
                <w:color w:val="000000" w:themeColor="text1"/>
                <w:lang w:val="ro-MD"/>
              </w:rPr>
              <w:t>.1 nu constituie o încălcare a condiției prevăzute la subpct.1</w:t>
            </w:r>
            <w:r w:rsidR="009E6EE1" w:rsidRPr="004D6136">
              <w:rPr>
                <w:rFonts w:ascii="Times New Roman" w:hAnsi="Times New Roman" w:cs="Times New Roman"/>
                <w:bCs/>
                <w:color w:val="000000" w:themeColor="text1"/>
                <w:lang w:val="ro-MD"/>
              </w:rPr>
              <w:t>6</w:t>
            </w:r>
            <w:r w:rsidR="00816196" w:rsidRPr="004D6136">
              <w:rPr>
                <w:rFonts w:ascii="Times New Roman" w:hAnsi="Times New Roman" w:cs="Times New Roman"/>
                <w:bCs/>
                <w:color w:val="000000" w:themeColor="text1"/>
                <w:lang w:val="ro-MD"/>
              </w:rPr>
              <w:t>.2 în cazul în care acordul îndeplinește cumulativ următoarele condiții:</w:t>
            </w:r>
          </w:p>
          <w:p w14:paraId="0AA963E4" w14:textId="79B1150A" w:rsidR="00816196" w:rsidRPr="004D6136" w:rsidRDefault="00D13CF9"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2</w:t>
            </w:r>
            <w:r w:rsidR="005B62E0" w:rsidRPr="004D6136">
              <w:rPr>
                <w:rFonts w:ascii="Times New Roman" w:hAnsi="Times New Roman" w:cs="Times New Roman"/>
                <w:bCs/>
                <w:color w:val="000000" w:themeColor="text1"/>
                <w:lang w:val="ro-MD"/>
              </w:rPr>
              <w:t>7</w:t>
            </w:r>
            <w:r w:rsidR="00816196" w:rsidRPr="004D6136">
              <w:rPr>
                <w:rFonts w:ascii="Times New Roman" w:hAnsi="Times New Roman" w:cs="Times New Roman"/>
                <w:bCs/>
                <w:color w:val="000000" w:themeColor="text1"/>
                <w:lang w:val="ro-MD"/>
              </w:rPr>
              <w:t>.1. banca are un drept executoriu din punct de vedere juridic de a compensa soldurile conturilor inițiale printr-un transfer într-un cont unic, în orice moment;</w:t>
            </w:r>
          </w:p>
          <w:p w14:paraId="1F69E172" w14:textId="19811C44" w:rsidR="00816196" w:rsidRPr="004D6136" w:rsidRDefault="00D13CF9"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2</w:t>
            </w:r>
            <w:r w:rsidR="005B62E0" w:rsidRPr="004D6136">
              <w:rPr>
                <w:rFonts w:ascii="Times New Roman" w:hAnsi="Times New Roman" w:cs="Times New Roman"/>
                <w:bCs/>
                <w:color w:val="000000" w:themeColor="text1"/>
                <w:lang w:val="ro-MD"/>
              </w:rPr>
              <w:t>7</w:t>
            </w:r>
            <w:r w:rsidR="00816196" w:rsidRPr="004D6136">
              <w:rPr>
                <w:rFonts w:ascii="Times New Roman" w:hAnsi="Times New Roman" w:cs="Times New Roman"/>
                <w:bCs/>
                <w:color w:val="000000" w:themeColor="text1"/>
                <w:lang w:val="ro-MD"/>
              </w:rPr>
              <w:t>.2. nu există neconcordanțe de scadență între soldurile conturilor inițiale;</w:t>
            </w:r>
          </w:p>
          <w:p w14:paraId="3BFA8E0F" w14:textId="185DD750"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2</w:t>
            </w:r>
            <w:r w:rsidR="005B62E0" w:rsidRPr="004D6136">
              <w:rPr>
                <w:rFonts w:ascii="Times New Roman" w:hAnsi="Times New Roman" w:cs="Times New Roman"/>
                <w:bCs/>
                <w:color w:val="000000" w:themeColor="text1"/>
                <w:lang w:val="ro-MD"/>
              </w:rPr>
              <w:t>7</w:t>
            </w:r>
            <w:r w:rsidRPr="004D6136">
              <w:rPr>
                <w:rFonts w:ascii="Times New Roman" w:hAnsi="Times New Roman" w:cs="Times New Roman"/>
                <w:bCs/>
                <w:color w:val="000000" w:themeColor="text1"/>
                <w:lang w:val="ro-MD"/>
              </w:rPr>
              <w:t>.3. banca încasează sau plătește dobânzi pe baza soldului combinat al conturilor inițiale;</w:t>
            </w:r>
          </w:p>
          <w:p w14:paraId="49F456A2" w14:textId="6825D99C"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2</w:t>
            </w:r>
            <w:r w:rsidR="005B62E0" w:rsidRPr="004D6136">
              <w:rPr>
                <w:rFonts w:ascii="Times New Roman" w:hAnsi="Times New Roman" w:cs="Times New Roman"/>
                <w:bCs/>
                <w:color w:val="000000" w:themeColor="text1"/>
                <w:lang w:val="ro-MD"/>
              </w:rPr>
              <w:t>7</w:t>
            </w:r>
            <w:r w:rsidRPr="004D6136">
              <w:rPr>
                <w:rFonts w:ascii="Times New Roman" w:hAnsi="Times New Roman" w:cs="Times New Roman"/>
                <w:bCs/>
                <w:color w:val="000000" w:themeColor="text1"/>
                <w:lang w:val="ro-MD"/>
              </w:rPr>
              <w:t xml:space="preserve">.4. </w:t>
            </w:r>
            <w:r w:rsidR="00D13CF9" w:rsidRPr="004D6136">
              <w:rPr>
                <w:rFonts w:ascii="Times New Roman" w:hAnsi="Times New Roman" w:cs="Times New Roman"/>
                <w:bCs/>
                <w:color w:val="000000" w:themeColor="text1"/>
                <w:lang w:val="ro-MD"/>
              </w:rPr>
              <w:t xml:space="preserve">BNM </w:t>
            </w:r>
            <w:r w:rsidRPr="004D6136">
              <w:rPr>
                <w:rFonts w:ascii="Times New Roman" w:hAnsi="Times New Roman" w:cs="Times New Roman"/>
                <w:bCs/>
                <w:color w:val="000000" w:themeColor="text1"/>
                <w:lang w:val="ro-MD"/>
              </w:rPr>
              <w:t xml:space="preserve">consideră că frecvența cu care sunt transferate soldurile tuturor conturilor inițiale corespunde scopului de a include doar soldul combinat al acordului de tipul „cash </w:t>
            </w:r>
            <w:proofErr w:type="spellStart"/>
            <w:r w:rsidRPr="004D6136">
              <w:rPr>
                <w:rFonts w:ascii="Times New Roman" w:hAnsi="Times New Roman" w:cs="Times New Roman"/>
                <w:bCs/>
                <w:color w:val="000000" w:themeColor="text1"/>
                <w:lang w:val="ro-MD"/>
              </w:rPr>
              <w:t>pooling</w:t>
            </w:r>
            <w:proofErr w:type="spellEnd"/>
            <w:r w:rsidRPr="004D6136">
              <w:rPr>
                <w:rFonts w:ascii="Times New Roman" w:hAnsi="Times New Roman" w:cs="Times New Roman"/>
                <w:bCs/>
                <w:color w:val="000000" w:themeColor="text1"/>
                <w:lang w:val="ro-MD"/>
              </w:rPr>
              <w:t>” în indicatorul de măsurare a expunerii utilizat pentru calcularea expunerii totale.</w:t>
            </w:r>
          </w:p>
        </w:tc>
        <w:tc>
          <w:tcPr>
            <w:tcW w:w="585" w:type="pct"/>
          </w:tcPr>
          <w:p w14:paraId="3DAC6582" w14:textId="2AAA4AEA" w:rsidR="00816196" w:rsidRPr="004D6136" w:rsidRDefault="009058FD" w:rsidP="00816196">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compatibil</w:t>
            </w:r>
          </w:p>
        </w:tc>
        <w:tc>
          <w:tcPr>
            <w:tcW w:w="1261" w:type="pct"/>
          </w:tcPr>
          <w:p w14:paraId="19BF1235" w14:textId="77777777" w:rsidR="00816196" w:rsidRPr="004D6136" w:rsidRDefault="00816196" w:rsidP="00816196">
            <w:pPr>
              <w:spacing w:line="276" w:lineRule="auto"/>
              <w:jc w:val="both"/>
              <w:rPr>
                <w:rFonts w:ascii="Times New Roman" w:hAnsi="Times New Roman" w:cs="Times New Roman"/>
                <w:bCs/>
                <w:color w:val="000000" w:themeColor="text1"/>
                <w:lang w:val="ro-MD"/>
              </w:rPr>
            </w:pPr>
          </w:p>
        </w:tc>
      </w:tr>
      <w:tr w:rsidR="00816196" w:rsidRPr="004D6136" w14:paraId="265FBB47" w14:textId="77777777" w:rsidTr="00B97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2B7BF7F3" w14:textId="77777777"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(4)   Prin derogare de la alineatul (1) litera (b), instituțiile pot calcula valoarea expunerii sumelor de încasat și a sumelor de plătit în numerar din cadrul </w:t>
            </w:r>
            <w:r w:rsidRPr="004D6136">
              <w:rPr>
                <w:rFonts w:ascii="Times New Roman" w:hAnsi="Times New Roman" w:cs="Times New Roman"/>
                <w:bCs/>
                <w:color w:val="000000" w:themeColor="text1"/>
                <w:lang w:val="ro-MD"/>
              </w:rPr>
              <w:lastRenderedPageBreak/>
              <w:t xml:space="preserve">operațiunilor de finanțare prin titluri de valoare cu aceeași </w:t>
            </w:r>
            <w:proofErr w:type="spellStart"/>
            <w:r w:rsidRPr="004D6136">
              <w:rPr>
                <w:rFonts w:ascii="Times New Roman" w:hAnsi="Times New Roman" w:cs="Times New Roman"/>
                <w:bCs/>
                <w:color w:val="000000" w:themeColor="text1"/>
                <w:lang w:val="ro-MD"/>
              </w:rPr>
              <w:t>contraparte</w:t>
            </w:r>
            <w:proofErr w:type="spellEnd"/>
            <w:r w:rsidRPr="004D6136">
              <w:rPr>
                <w:rFonts w:ascii="Times New Roman" w:hAnsi="Times New Roman" w:cs="Times New Roman"/>
                <w:bCs/>
                <w:color w:val="000000" w:themeColor="text1"/>
                <w:lang w:val="ro-MD"/>
              </w:rPr>
              <w:t xml:space="preserve"> pe o bază netă numai dacă sunt îndeplinite cumulativ următoarele condiții:</w:t>
            </w:r>
          </w:p>
          <w:p w14:paraId="38A01B06" w14:textId="2C3A2027"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(a) tranzacțiile au aceeași dată explicită de decontare finală;</w:t>
            </w:r>
          </w:p>
          <w:p w14:paraId="25F6EBCC" w14:textId="3A6749D2"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(b) dreptul de a compensa suma datorată </w:t>
            </w:r>
            <w:proofErr w:type="spellStart"/>
            <w:r w:rsidRPr="004D6136">
              <w:rPr>
                <w:rFonts w:ascii="Times New Roman" w:hAnsi="Times New Roman" w:cs="Times New Roman"/>
                <w:bCs/>
                <w:color w:val="000000" w:themeColor="text1"/>
                <w:lang w:val="ro-MD"/>
              </w:rPr>
              <w:t>contrapărții</w:t>
            </w:r>
            <w:proofErr w:type="spellEnd"/>
            <w:r w:rsidRPr="004D6136">
              <w:rPr>
                <w:rFonts w:ascii="Times New Roman" w:hAnsi="Times New Roman" w:cs="Times New Roman"/>
                <w:bCs/>
                <w:color w:val="000000" w:themeColor="text1"/>
                <w:lang w:val="ro-MD"/>
              </w:rPr>
              <w:t xml:space="preserve"> cu suma datorată de către </w:t>
            </w:r>
            <w:proofErr w:type="spellStart"/>
            <w:r w:rsidRPr="004D6136">
              <w:rPr>
                <w:rFonts w:ascii="Times New Roman" w:hAnsi="Times New Roman" w:cs="Times New Roman"/>
                <w:bCs/>
                <w:color w:val="000000" w:themeColor="text1"/>
                <w:lang w:val="ro-MD"/>
              </w:rPr>
              <w:t>contraparte</w:t>
            </w:r>
            <w:proofErr w:type="spellEnd"/>
            <w:r w:rsidRPr="004D6136">
              <w:rPr>
                <w:rFonts w:ascii="Times New Roman" w:hAnsi="Times New Roman" w:cs="Times New Roman"/>
                <w:bCs/>
                <w:color w:val="000000" w:themeColor="text1"/>
                <w:lang w:val="ro-MD"/>
              </w:rPr>
              <w:t xml:space="preserve"> este executoriu din punct de vedere juridic în cursul desfășurării normale a activității și în cazul intrării în stare de nerambursare, al insolvenței și al falimentului;</w:t>
            </w:r>
          </w:p>
          <w:p w14:paraId="2163AFB1" w14:textId="2787DDA6"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(c) </w:t>
            </w:r>
            <w:proofErr w:type="spellStart"/>
            <w:r w:rsidRPr="004D6136">
              <w:rPr>
                <w:rFonts w:ascii="Times New Roman" w:hAnsi="Times New Roman" w:cs="Times New Roman"/>
                <w:bCs/>
                <w:color w:val="000000" w:themeColor="text1"/>
                <w:lang w:val="ro-MD"/>
              </w:rPr>
              <w:t>contrapărțile</w:t>
            </w:r>
            <w:proofErr w:type="spellEnd"/>
            <w:r w:rsidRPr="004D6136">
              <w:rPr>
                <w:rFonts w:ascii="Times New Roman" w:hAnsi="Times New Roman" w:cs="Times New Roman"/>
                <w:bCs/>
                <w:color w:val="000000" w:themeColor="text1"/>
                <w:lang w:val="ro-MD"/>
              </w:rPr>
              <w:t xml:space="preserve"> intenționează să deconteze pe o bază netă sau să efectueze o decontare simultană sau tranzacțiile fac obiectul unui mecanism de decontare care are ca rezultat echivalentul funcțional al decontării nete.</w:t>
            </w:r>
          </w:p>
        </w:tc>
        <w:tc>
          <w:tcPr>
            <w:tcW w:w="1557" w:type="pct"/>
            <w:shd w:val="clear" w:color="auto" w:fill="auto"/>
          </w:tcPr>
          <w:p w14:paraId="2F7816F9" w14:textId="35CC08B0" w:rsidR="00816196" w:rsidRPr="004D6136" w:rsidRDefault="00D13CF9"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2</w:t>
            </w:r>
            <w:r w:rsidR="005B62E0" w:rsidRPr="004D6136">
              <w:rPr>
                <w:rFonts w:ascii="Times New Roman" w:hAnsi="Times New Roman" w:cs="Times New Roman"/>
                <w:bCs/>
                <w:color w:val="000000" w:themeColor="text1"/>
                <w:lang w:val="ro-MD"/>
              </w:rPr>
              <w:t>8</w:t>
            </w:r>
            <w:r w:rsidR="00816196" w:rsidRPr="004D6136">
              <w:rPr>
                <w:rFonts w:ascii="Times New Roman" w:hAnsi="Times New Roman" w:cs="Times New Roman"/>
                <w:bCs/>
                <w:color w:val="000000" w:themeColor="text1"/>
                <w:lang w:val="ro-MD"/>
              </w:rPr>
              <w:t>.   Prin derogare de la</w:t>
            </w:r>
            <w:r w:rsidR="00632C0E" w:rsidRPr="004D6136">
              <w:rPr>
                <w:rFonts w:ascii="Times New Roman" w:hAnsi="Times New Roman" w:cs="Times New Roman"/>
                <w:bCs/>
                <w:color w:val="000000" w:themeColor="text1"/>
                <w:lang w:val="ro-MD"/>
              </w:rPr>
              <w:t xml:space="preserve"> </w:t>
            </w:r>
            <w:r w:rsidR="00816196" w:rsidRPr="004D6136">
              <w:rPr>
                <w:rFonts w:ascii="Times New Roman" w:hAnsi="Times New Roman" w:cs="Times New Roman"/>
                <w:bCs/>
                <w:color w:val="000000" w:themeColor="text1"/>
                <w:lang w:val="ro-MD"/>
              </w:rPr>
              <w:t>subpct.2</w:t>
            </w:r>
            <w:r w:rsidR="005B62E0" w:rsidRPr="004D6136">
              <w:rPr>
                <w:rFonts w:ascii="Times New Roman" w:hAnsi="Times New Roman" w:cs="Times New Roman"/>
                <w:bCs/>
                <w:color w:val="000000" w:themeColor="text1"/>
                <w:lang w:val="ro-MD"/>
              </w:rPr>
              <w:t>4</w:t>
            </w:r>
            <w:r w:rsidR="00816196" w:rsidRPr="004D6136">
              <w:rPr>
                <w:rFonts w:ascii="Times New Roman" w:hAnsi="Times New Roman" w:cs="Times New Roman"/>
                <w:bCs/>
                <w:color w:val="000000" w:themeColor="text1"/>
                <w:lang w:val="ro-MD"/>
              </w:rPr>
              <w:t xml:space="preserve">.2, băncile pot calcula valoarea expunerii sumelor de încasat și a sumelor de plătit în numerar din cadrul operațiunilor </w:t>
            </w:r>
            <w:r w:rsidR="00816196" w:rsidRPr="004D6136">
              <w:rPr>
                <w:rFonts w:ascii="Times New Roman" w:hAnsi="Times New Roman" w:cs="Times New Roman"/>
                <w:bCs/>
                <w:color w:val="000000" w:themeColor="text1"/>
                <w:lang w:val="ro-MD"/>
              </w:rPr>
              <w:lastRenderedPageBreak/>
              <w:t xml:space="preserve">de finanțare prin titluri de valoare cu aceeași </w:t>
            </w:r>
            <w:proofErr w:type="spellStart"/>
            <w:r w:rsidR="00816196" w:rsidRPr="004D6136">
              <w:rPr>
                <w:rFonts w:ascii="Times New Roman" w:hAnsi="Times New Roman" w:cs="Times New Roman"/>
                <w:bCs/>
                <w:color w:val="000000" w:themeColor="text1"/>
                <w:lang w:val="ro-MD"/>
              </w:rPr>
              <w:t>contraparte</w:t>
            </w:r>
            <w:proofErr w:type="spellEnd"/>
            <w:r w:rsidR="00816196" w:rsidRPr="004D6136">
              <w:rPr>
                <w:rFonts w:ascii="Times New Roman" w:hAnsi="Times New Roman" w:cs="Times New Roman"/>
                <w:bCs/>
                <w:color w:val="000000" w:themeColor="text1"/>
                <w:lang w:val="ro-MD"/>
              </w:rPr>
              <w:t xml:space="preserve"> pe o bază netă numai dacă sunt îndeplinite cumulativ următoarele condiții:</w:t>
            </w:r>
          </w:p>
          <w:p w14:paraId="2D161F28" w14:textId="54F11F8E" w:rsidR="00816196" w:rsidRPr="004D6136" w:rsidRDefault="00D13CF9"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2</w:t>
            </w:r>
            <w:r w:rsidR="005B62E0" w:rsidRPr="004D6136">
              <w:rPr>
                <w:rFonts w:ascii="Times New Roman" w:hAnsi="Times New Roman" w:cs="Times New Roman"/>
                <w:bCs/>
                <w:color w:val="000000" w:themeColor="text1"/>
                <w:lang w:val="ro-MD"/>
              </w:rPr>
              <w:t>8</w:t>
            </w:r>
            <w:r w:rsidR="00816196" w:rsidRPr="004D6136">
              <w:rPr>
                <w:rFonts w:ascii="Times New Roman" w:hAnsi="Times New Roman" w:cs="Times New Roman"/>
                <w:bCs/>
                <w:color w:val="000000" w:themeColor="text1"/>
                <w:lang w:val="ro-MD"/>
              </w:rPr>
              <w:t>.1. tranzacțiile au aceeași dată explicită de decontare finală;</w:t>
            </w:r>
          </w:p>
          <w:p w14:paraId="44B60D0F" w14:textId="59F04251" w:rsidR="00816196" w:rsidRPr="004D6136" w:rsidRDefault="00D13CF9"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2</w:t>
            </w:r>
            <w:r w:rsidR="005B62E0" w:rsidRPr="004D6136">
              <w:rPr>
                <w:rFonts w:ascii="Times New Roman" w:hAnsi="Times New Roman" w:cs="Times New Roman"/>
                <w:bCs/>
                <w:color w:val="000000" w:themeColor="text1"/>
                <w:lang w:val="ro-MD"/>
              </w:rPr>
              <w:t>8</w:t>
            </w:r>
            <w:r w:rsidR="00816196" w:rsidRPr="004D6136">
              <w:rPr>
                <w:rFonts w:ascii="Times New Roman" w:hAnsi="Times New Roman" w:cs="Times New Roman"/>
                <w:bCs/>
                <w:color w:val="000000" w:themeColor="text1"/>
                <w:lang w:val="ro-MD"/>
              </w:rPr>
              <w:t xml:space="preserve">.2. dreptul de a compensa suma datorată </w:t>
            </w:r>
            <w:proofErr w:type="spellStart"/>
            <w:r w:rsidR="00816196" w:rsidRPr="004D6136">
              <w:rPr>
                <w:rFonts w:ascii="Times New Roman" w:hAnsi="Times New Roman" w:cs="Times New Roman"/>
                <w:bCs/>
                <w:color w:val="000000" w:themeColor="text1"/>
                <w:lang w:val="ro-MD"/>
              </w:rPr>
              <w:t>contrapărții</w:t>
            </w:r>
            <w:proofErr w:type="spellEnd"/>
            <w:r w:rsidR="00816196" w:rsidRPr="004D6136">
              <w:rPr>
                <w:rFonts w:ascii="Times New Roman" w:hAnsi="Times New Roman" w:cs="Times New Roman"/>
                <w:bCs/>
                <w:color w:val="000000" w:themeColor="text1"/>
                <w:lang w:val="ro-MD"/>
              </w:rPr>
              <w:t xml:space="preserve"> cu suma datorată de către </w:t>
            </w:r>
            <w:proofErr w:type="spellStart"/>
            <w:r w:rsidR="00816196" w:rsidRPr="004D6136">
              <w:rPr>
                <w:rFonts w:ascii="Times New Roman" w:hAnsi="Times New Roman" w:cs="Times New Roman"/>
                <w:bCs/>
                <w:color w:val="000000" w:themeColor="text1"/>
                <w:lang w:val="ro-MD"/>
              </w:rPr>
              <w:t>contraparte</w:t>
            </w:r>
            <w:proofErr w:type="spellEnd"/>
            <w:r w:rsidR="00816196" w:rsidRPr="004D6136">
              <w:rPr>
                <w:rFonts w:ascii="Times New Roman" w:hAnsi="Times New Roman" w:cs="Times New Roman"/>
                <w:bCs/>
                <w:color w:val="000000" w:themeColor="text1"/>
                <w:lang w:val="ro-MD"/>
              </w:rPr>
              <w:t xml:space="preserve"> este executoriu din punct de vedere juridic în cursul desfășurării normale a activității și în cazul intrării în stare de nerambursare, al </w:t>
            </w:r>
            <w:r w:rsidR="00AE3E2A" w:rsidRPr="004D6136">
              <w:rPr>
                <w:rFonts w:ascii="Times New Roman" w:hAnsi="Times New Roman" w:cs="Times New Roman"/>
                <w:bCs/>
                <w:color w:val="000000" w:themeColor="text1"/>
                <w:lang w:val="ro-MD"/>
              </w:rPr>
              <w:t xml:space="preserve">insolvabilității </w:t>
            </w:r>
            <w:r w:rsidR="00816196" w:rsidRPr="004D6136">
              <w:rPr>
                <w:rFonts w:ascii="Times New Roman" w:hAnsi="Times New Roman" w:cs="Times New Roman"/>
                <w:bCs/>
                <w:color w:val="000000" w:themeColor="text1"/>
                <w:lang w:val="ro-MD"/>
              </w:rPr>
              <w:t>și al falimentului;</w:t>
            </w:r>
          </w:p>
          <w:p w14:paraId="0857D4B9" w14:textId="5E4713A3" w:rsidR="00816196" w:rsidRPr="004D6136" w:rsidRDefault="00D13CF9"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2</w:t>
            </w:r>
            <w:r w:rsidR="005B62E0" w:rsidRPr="004D6136">
              <w:rPr>
                <w:rFonts w:ascii="Times New Roman" w:hAnsi="Times New Roman" w:cs="Times New Roman"/>
                <w:bCs/>
                <w:color w:val="000000" w:themeColor="text1"/>
                <w:lang w:val="ro-MD"/>
              </w:rPr>
              <w:t>8</w:t>
            </w:r>
            <w:r w:rsidR="00816196" w:rsidRPr="004D6136">
              <w:rPr>
                <w:rFonts w:ascii="Times New Roman" w:hAnsi="Times New Roman" w:cs="Times New Roman"/>
                <w:bCs/>
                <w:color w:val="000000" w:themeColor="text1"/>
                <w:lang w:val="ro-MD"/>
              </w:rPr>
              <w:t xml:space="preserve">.3. </w:t>
            </w:r>
            <w:proofErr w:type="spellStart"/>
            <w:r w:rsidR="00816196" w:rsidRPr="004D6136">
              <w:rPr>
                <w:rFonts w:ascii="Times New Roman" w:hAnsi="Times New Roman" w:cs="Times New Roman"/>
                <w:bCs/>
                <w:color w:val="000000" w:themeColor="text1"/>
                <w:lang w:val="ro-MD"/>
              </w:rPr>
              <w:t>contrapărțile</w:t>
            </w:r>
            <w:proofErr w:type="spellEnd"/>
            <w:r w:rsidR="00816196" w:rsidRPr="004D6136">
              <w:rPr>
                <w:rFonts w:ascii="Times New Roman" w:hAnsi="Times New Roman" w:cs="Times New Roman"/>
                <w:bCs/>
                <w:color w:val="000000" w:themeColor="text1"/>
                <w:lang w:val="ro-MD"/>
              </w:rPr>
              <w:t xml:space="preserve"> intenționează să deconteze pe o bază netă sau să efectueze o decontare simultană sau tranzacțiile fac obiectul unui mecanism de decontare care are ca rezultat echivalentul funcțional al decontării nete.</w:t>
            </w:r>
          </w:p>
        </w:tc>
        <w:tc>
          <w:tcPr>
            <w:tcW w:w="585" w:type="pct"/>
          </w:tcPr>
          <w:p w14:paraId="2C887242" w14:textId="2C3034D5" w:rsidR="00816196" w:rsidRPr="004D6136" w:rsidRDefault="00005836" w:rsidP="00816196">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compatibil</w:t>
            </w:r>
          </w:p>
        </w:tc>
        <w:tc>
          <w:tcPr>
            <w:tcW w:w="1261" w:type="pct"/>
          </w:tcPr>
          <w:p w14:paraId="09941889" w14:textId="77777777" w:rsidR="00816196" w:rsidRPr="004D6136" w:rsidRDefault="00816196" w:rsidP="00816196">
            <w:pPr>
              <w:spacing w:line="276" w:lineRule="auto"/>
              <w:jc w:val="both"/>
              <w:rPr>
                <w:rFonts w:ascii="Times New Roman" w:hAnsi="Times New Roman" w:cs="Times New Roman"/>
                <w:bCs/>
                <w:color w:val="000000" w:themeColor="text1"/>
                <w:lang w:val="ro-MD"/>
              </w:rPr>
            </w:pPr>
          </w:p>
        </w:tc>
      </w:tr>
      <w:tr w:rsidR="00816196" w:rsidRPr="004D6136" w14:paraId="2D9ADF8D" w14:textId="77777777" w:rsidTr="00B97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7F483BF1" w14:textId="77777777"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(5)   În sensul alineatului (4) litera (c), instituțiile pot considera că mecanismul de decontare are ca rezultat echivalentul funcțional al decontării nete doar dacă, la data decontării, rezultatul net al fluxurilor de numerar ale tranzacțiilor din cadrul mecanismului respectiv este egal cu suma netă unică rezultată în cazul decontării nete și dacă sunt îndeplinite cumulativ următoarele condiții:</w:t>
            </w:r>
          </w:p>
          <w:p w14:paraId="7E196EF0" w14:textId="30CD0D53"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(a) tranzacțiile sunt decontate prin același sistem de decontare sau prin sisteme de decontare care folosesc o infrastructură de decontare comună;</w:t>
            </w:r>
          </w:p>
          <w:p w14:paraId="191939F6" w14:textId="4584FA3A"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(b) mecanismele de decontare sunt susținute de numerar sau de facilități de credit pe parcursul zilei („</w:t>
            </w:r>
            <w:proofErr w:type="spellStart"/>
            <w:r w:rsidRPr="004D6136">
              <w:rPr>
                <w:rFonts w:ascii="Times New Roman" w:hAnsi="Times New Roman" w:cs="Times New Roman"/>
                <w:bCs/>
                <w:color w:val="000000" w:themeColor="text1"/>
                <w:lang w:val="ro-MD"/>
              </w:rPr>
              <w:t>intraday</w:t>
            </w:r>
            <w:proofErr w:type="spellEnd"/>
            <w:r w:rsidRPr="004D6136">
              <w:rPr>
                <w:rFonts w:ascii="Times New Roman" w:hAnsi="Times New Roman" w:cs="Times New Roman"/>
                <w:bCs/>
                <w:color w:val="000000" w:themeColor="text1"/>
                <w:lang w:val="ro-MD"/>
              </w:rPr>
              <w:t>”) menite să asigure că decontarea tranzacțiilor va avea loc până la sfârșitul zilei lucrătoare;</w:t>
            </w:r>
          </w:p>
          <w:p w14:paraId="6583B97B" w14:textId="0D5D83E5"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(c) orice aspect care decurge din segmentele aferente titlurilor de valoare ale operațiunilor de finanțare prin titluri de valoare nu interferează cu finalizarea decontării nete a sumelor de încasat și a sumelor de plătit în numerar.</w:t>
            </w:r>
          </w:p>
          <w:p w14:paraId="1790B3F0" w14:textId="5799AE40"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Condiția prevăzută la primul paragraf litera (c) este îndeplinită doar când eșecul oricărei operațiuni de finanțare prin titluri de valoare din mecanismul de decontare poate întârzia doar decontarea segmentului corespunzător aferent fondurilor bănești sau poate crea o obligație pentru mecanismul de decontare, sprijinită de o facilitate de credit asociată.</w:t>
            </w:r>
          </w:p>
          <w:p w14:paraId="2B3CE209" w14:textId="2553B9E8"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În cazul în care se înregistrează un eșec al segmentului aferent titlurilor de valoare a unei operațiuni de finanțare prin titluri de valoare în mecanismul de compensare la sfârșitul perioadei de decontare din mecanismul de decontare, instituțiile scot această tranzacție și segmentul corespunzător aferent </w:t>
            </w:r>
            <w:r w:rsidRPr="004D6136">
              <w:rPr>
                <w:rFonts w:ascii="Times New Roman" w:hAnsi="Times New Roman" w:cs="Times New Roman"/>
                <w:bCs/>
                <w:color w:val="000000" w:themeColor="text1"/>
                <w:lang w:val="ro-MD"/>
              </w:rPr>
              <w:lastRenderedPageBreak/>
              <w:t>fondurilor bănești din setul de compensare și le tratează pe bază brută.</w:t>
            </w:r>
          </w:p>
        </w:tc>
        <w:tc>
          <w:tcPr>
            <w:tcW w:w="1557" w:type="pct"/>
            <w:shd w:val="clear" w:color="auto" w:fill="auto"/>
          </w:tcPr>
          <w:p w14:paraId="3B5D2C59" w14:textId="03B114B1" w:rsidR="00816196" w:rsidRPr="004D6136" w:rsidRDefault="00D13CF9"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2</w:t>
            </w:r>
            <w:r w:rsidR="005B62E0" w:rsidRPr="004D6136">
              <w:rPr>
                <w:rFonts w:ascii="Times New Roman" w:hAnsi="Times New Roman" w:cs="Times New Roman"/>
                <w:bCs/>
                <w:color w:val="000000" w:themeColor="text1"/>
                <w:lang w:val="ro-MD"/>
              </w:rPr>
              <w:t>9</w:t>
            </w:r>
            <w:r w:rsidR="00816196" w:rsidRPr="004D6136">
              <w:rPr>
                <w:rFonts w:ascii="Times New Roman" w:hAnsi="Times New Roman" w:cs="Times New Roman"/>
                <w:bCs/>
                <w:color w:val="000000" w:themeColor="text1"/>
                <w:lang w:val="ro-MD"/>
              </w:rPr>
              <w:t>.   În sensul</w:t>
            </w:r>
            <w:r w:rsidR="00632C0E" w:rsidRPr="004D6136">
              <w:rPr>
                <w:rFonts w:ascii="Times New Roman" w:hAnsi="Times New Roman" w:cs="Times New Roman"/>
                <w:bCs/>
                <w:color w:val="000000" w:themeColor="text1"/>
                <w:lang w:val="ro-MD"/>
              </w:rPr>
              <w:t xml:space="preserve"> </w:t>
            </w:r>
            <w:r w:rsidR="00816196" w:rsidRPr="004D6136">
              <w:rPr>
                <w:rFonts w:ascii="Times New Roman" w:hAnsi="Times New Roman" w:cs="Times New Roman"/>
                <w:bCs/>
                <w:color w:val="000000" w:themeColor="text1"/>
                <w:lang w:val="ro-MD"/>
              </w:rPr>
              <w:t>subpct.</w:t>
            </w:r>
            <w:r w:rsidRPr="004D6136">
              <w:rPr>
                <w:rFonts w:ascii="Times New Roman" w:hAnsi="Times New Roman" w:cs="Times New Roman"/>
                <w:bCs/>
                <w:color w:val="000000" w:themeColor="text1"/>
                <w:lang w:val="ro-MD"/>
              </w:rPr>
              <w:t>2</w:t>
            </w:r>
            <w:r w:rsidR="005B62E0" w:rsidRPr="004D6136">
              <w:rPr>
                <w:rFonts w:ascii="Times New Roman" w:hAnsi="Times New Roman" w:cs="Times New Roman"/>
                <w:bCs/>
                <w:color w:val="000000" w:themeColor="text1"/>
                <w:lang w:val="ro-MD"/>
              </w:rPr>
              <w:t>8</w:t>
            </w:r>
            <w:r w:rsidR="00816196" w:rsidRPr="004D6136">
              <w:rPr>
                <w:rFonts w:ascii="Times New Roman" w:hAnsi="Times New Roman" w:cs="Times New Roman"/>
                <w:bCs/>
                <w:color w:val="000000" w:themeColor="text1"/>
                <w:lang w:val="ro-MD"/>
              </w:rPr>
              <w:t>.3, băncile pot considera că mecanismul de decontare are ca rezultat echivalentul funcțional al decontării nete doar dacă, la data decontării, rezultatul net al fluxurilor de numerar ale tranzacțiilor din cadrul mecanismului respectiv este egal cu suma netă unică rezultată în cazul decontării nete și dacă sunt îndeplinite cumulativ următoarele condiții:</w:t>
            </w:r>
          </w:p>
          <w:p w14:paraId="007B25BB" w14:textId="70E46564" w:rsidR="00816196" w:rsidRPr="004D6136" w:rsidRDefault="00D13CF9"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2</w:t>
            </w:r>
            <w:r w:rsidR="005B62E0" w:rsidRPr="004D6136">
              <w:rPr>
                <w:rFonts w:ascii="Times New Roman" w:hAnsi="Times New Roman" w:cs="Times New Roman"/>
                <w:bCs/>
                <w:color w:val="000000" w:themeColor="text1"/>
                <w:lang w:val="ro-MD"/>
              </w:rPr>
              <w:t>9</w:t>
            </w:r>
            <w:r w:rsidR="00816196" w:rsidRPr="004D6136">
              <w:rPr>
                <w:rFonts w:ascii="Times New Roman" w:hAnsi="Times New Roman" w:cs="Times New Roman"/>
                <w:bCs/>
                <w:color w:val="000000" w:themeColor="text1"/>
                <w:lang w:val="ro-MD"/>
              </w:rPr>
              <w:t>.1. tranzacțiile sunt decontate prin același sistem de decontare sau prin sisteme de decontare care folosesc o infrastructură de decontare comună;</w:t>
            </w:r>
          </w:p>
          <w:p w14:paraId="0F6330C8" w14:textId="0512B015" w:rsidR="00816196" w:rsidRPr="004D6136" w:rsidRDefault="00D13CF9"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2</w:t>
            </w:r>
            <w:r w:rsidR="005B62E0" w:rsidRPr="004D6136">
              <w:rPr>
                <w:rFonts w:ascii="Times New Roman" w:hAnsi="Times New Roman" w:cs="Times New Roman"/>
                <w:bCs/>
                <w:color w:val="000000" w:themeColor="text1"/>
                <w:lang w:val="ro-MD"/>
              </w:rPr>
              <w:t>9</w:t>
            </w:r>
            <w:r w:rsidR="00816196" w:rsidRPr="004D6136">
              <w:rPr>
                <w:rFonts w:ascii="Times New Roman" w:hAnsi="Times New Roman" w:cs="Times New Roman"/>
                <w:bCs/>
                <w:color w:val="000000" w:themeColor="text1"/>
                <w:lang w:val="ro-MD"/>
              </w:rPr>
              <w:t>.2. mecanismele de decontare sunt susținute de numerar sau de facilități de credit pe parcursul zilei („</w:t>
            </w:r>
            <w:proofErr w:type="spellStart"/>
            <w:r w:rsidR="00816196" w:rsidRPr="004D6136">
              <w:rPr>
                <w:rFonts w:ascii="Times New Roman" w:hAnsi="Times New Roman" w:cs="Times New Roman"/>
                <w:bCs/>
                <w:color w:val="000000" w:themeColor="text1"/>
                <w:lang w:val="ro-MD"/>
              </w:rPr>
              <w:t>intraday</w:t>
            </w:r>
            <w:proofErr w:type="spellEnd"/>
            <w:r w:rsidR="00816196" w:rsidRPr="004D6136">
              <w:rPr>
                <w:rFonts w:ascii="Times New Roman" w:hAnsi="Times New Roman" w:cs="Times New Roman"/>
                <w:bCs/>
                <w:color w:val="000000" w:themeColor="text1"/>
                <w:lang w:val="ro-MD"/>
              </w:rPr>
              <w:t>”) menite să asigure că decontarea tranzacțiilor va avea loc până la sfârșitul zilei lucrătoare;</w:t>
            </w:r>
          </w:p>
          <w:p w14:paraId="6B5324D3" w14:textId="38F9C7C2" w:rsidR="00816196" w:rsidRPr="004D6136" w:rsidRDefault="00D13CF9"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2</w:t>
            </w:r>
            <w:r w:rsidR="005B62E0" w:rsidRPr="004D6136">
              <w:rPr>
                <w:rFonts w:ascii="Times New Roman" w:hAnsi="Times New Roman" w:cs="Times New Roman"/>
                <w:bCs/>
                <w:color w:val="000000" w:themeColor="text1"/>
                <w:lang w:val="ro-MD"/>
              </w:rPr>
              <w:t>9</w:t>
            </w:r>
            <w:r w:rsidR="00816196" w:rsidRPr="004D6136">
              <w:rPr>
                <w:rFonts w:ascii="Times New Roman" w:hAnsi="Times New Roman" w:cs="Times New Roman"/>
                <w:bCs/>
                <w:color w:val="000000" w:themeColor="text1"/>
                <w:lang w:val="ro-MD"/>
              </w:rPr>
              <w:t>.3. orice aspect care decurge din segmentele aferente titlurilor de valoare ale operațiunilor de finanțare prin titluri de valoare nu interferează cu finalizarea decontării nete a sumelor de încasat și a sumelor de plătit în numerar.</w:t>
            </w:r>
          </w:p>
          <w:p w14:paraId="6FB89285" w14:textId="617124CE" w:rsidR="00816196" w:rsidRPr="004D6136" w:rsidRDefault="005B62E0"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30</w:t>
            </w:r>
            <w:r w:rsidR="00816196" w:rsidRPr="004D6136">
              <w:rPr>
                <w:rFonts w:ascii="Times New Roman" w:hAnsi="Times New Roman" w:cs="Times New Roman"/>
                <w:bCs/>
                <w:color w:val="000000" w:themeColor="text1"/>
                <w:lang w:val="ro-MD"/>
              </w:rPr>
              <w:t>. Condiția prevăzută la subpct.</w:t>
            </w:r>
            <w:r w:rsidR="00D13CF9" w:rsidRPr="004D6136">
              <w:rPr>
                <w:rFonts w:ascii="Times New Roman" w:hAnsi="Times New Roman" w:cs="Times New Roman"/>
                <w:bCs/>
                <w:color w:val="000000" w:themeColor="text1"/>
                <w:lang w:val="ro-MD"/>
              </w:rPr>
              <w:t>2</w:t>
            </w:r>
            <w:r w:rsidRPr="004D6136">
              <w:rPr>
                <w:rFonts w:ascii="Times New Roman" w:hAnsi="Times New Roman" w:cs="Times New Roman"/>
                <w:bCs/>
                <w:color w:val="000000" w:themeColor="text1"/>
                <w:lang w:val="ro-MD"/>
              </w:rPr>
              <w:t>9</w:t>
            </w:r>
            <w:r w:rsidR="00816196" w:rsidRPr="004D6136">
              <w:rPr>
                <w:rFonts w:ascii="Times New Roman" w:hAnsi="Times New Roman" w:cs="Times New Roman"/>
                <w:bCs/>
                <w:color w:val="000000" w:themeColor="text1"/>
                <w:lang w:val="ro-MD"/>
              </w:rPr>
              <w:t>.3 este îndeplinită doar când eșecul oricărei operațiuni de finanțare prin titluri de valoare din mecanismul de decontare poate întârzia doar decontarea segmentului corespunzător aferent fondurilor bănești sau poate crea o obligație pentru mecanismul de decontare, sprijinită de o facilitate de credit asociată.</w:t>
            </w:r>
          </w:p>
          <w:p w14:paraId="59B84564" w14:textId="4C9DF00A" w:rsidR="00816196" w:rsidRPr="004D6136" w:rsidRDefault="00AE31EC"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3</w:t>
            </w:r>
            <w:r w:rsidR="00BC5EB5" w:rsidRPr="004D6136">
              <w:rPr>
                <w:rFonts w:ascii="Times New Roman" w:hAnsi="Times New Roman" w:cs="Times New Roman"/>
                <w:bCs/>
                <w:color w:val="000000" w:themeColor="text1"/>
                <w:lang w:val="ro-MD"/>
              </w:rPr>
              <w:t>1</w:t>
            </w:r>
            <w:r w:rsidR="00816196" w:rsidRPr="004D6136">
              <w:rPr>
                <w:rFonts w:ascii="Times New Roman" w:hAnsi="Times New Roman" w:cs="Times New Roman"/>
                <w:bCs/>
                <w:color w:val="000000" w:themeColor="text1"/>
                <w:lang w:val="ro-MD"/>
              </w:rPr>
              <w:t xml:space="preserve">. În cazul în care se înregistrează un eșec al segmentului aferent titlurilor de valoare a unei operațiuni de finanțare prin titluri de valoare în mecanismul de compensare la sfârșitul perioadei de decontare din mecanismul de decontare, băncile scot această tranzacție și segmentul corespunzător aferent </w:t>
            </w:r>
            <w:r w:rsidR="00816196" w:rsidRPr="004D6136">
              <w:rPr>
                <w:rFonts w:ascii="Times New Roman" w:hAnsi="Times New Roman" w:cs="Times New Roman"/>
                <w:bCs/>
                <w:color w:val="000000" w:themeColor="text1"/>
                <w:lang w:val="ro-MD"/>
              </w:rPr>
              <w:lastRenderedPageBreak/>
              <w:t>fondurilor bănești din setul de compensare și le tratează pe bază brută.</w:t>
            </w:r>
          </w:p>
        </w:tc>
        <w:tc>
          <w:tcPr>
            <w:tcW w:w="585" w:type="pct"/>
          </w:tcPr>
          <w:p w14:paraId="0D4AEA2B" w14:textId="671C9118" w:rsidR="00816196" w:rsidRPr="004D6136" w:rsidRDefault="00632C0E" w:rsidP="00816196">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C</w:t>
            </w:r>
            <w:r w:rsidR="00005836" w:rsidRPr="004D6136">
              <w:rPr>
                <w:rFonts w:ascii="Times New Roman" w:hAnsi="Times New Roman" w:cs="Times New Roman"/>
                <w:bCs/>
                <w:color w:val="000000" w:themeColor="text1"/>
                <w:lang w:val="ro-MD"/>
              </w:rPr>
              <w:t>ompatibil</w:t>
            </w:r>
          </w:p>
        </w:tc>
        <w:tc>
          <w:tcPr>
            <w:tcW w:w="1261" w:type="pct"/>
          </w:tcPr>
          <w:p w14:paraId="0E062920" w14:textId="77777777" w:rsidR="00816196" w:rsidRPr="004D6136" w:rsidRDefault="00816196" w:rsidP="00816196">
            <w:pPr>
              <w:spacing w:line="276" w:lineRule="auto"/>
              <w:jc w:val="both"/>
              <w:rPr>
                <w:rFonts w:ascii="Times New Roman" w:hAnsi="Times New Roman" w:cs="Times New Roman"/>
                <w:bCs/>
                <w:color w:val="000000" w:themeColor="text1"/>
                <w:lang w:val="ro-MD"/>
              </w:rPr>
            </w:pPr>
          </w:p>
        </w:tc>
      </w:tr>
      <w:tr w:rsidR="00816196" w:rsidRPr="004D6136" w14:paraId="16001098" w14:textId="77777777" w:rsidTr="000A2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1283CD6C" w14:textId="0C9EFD69" w:rsidR="00816196" w:rsidRPr="004D6136" w:rsidRDefault="00816196" w:rsidP="00816196">
            <w:pPr>
              <w:spacing w:after="0" w:line="276" w:lineRule="auto"/>
              <w:jc w:val="both"/>
              <w:rPr>
                <w:rFonts w:ascii="Times New Roman" w:hAnsi="Times New Roman" w:cs="Times New Roman"/>
                <w:b/>
                <w:color w:val="000000" w:themeColor="text1"/>
                <w:lang w:val="ro-MD"/>
              </w:rPr>
            </w:pPr>
            <w:r w:rsidRPr="004D6136">
              <w:rPr>
                <w:rFonts w:ascii="Times New Roman" w:hAnsi="Times New Roman" w:cs="Times New Roman"/>
                <w:b/>
                <w:color w:val="000000" w:themeColor="text1"/>
                <w:lang w:val="ro-MD"/>
              </w:rPr>
              <w:lastRenderedPageBreak/>
              <w:t>Articolul 429c</w:t>
            </w:r>
          </w:p>
          <w:p w14:paraId="0EF029B8" w14:textId="656C73AF"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
                <w:color w:val="000000" w:themeColor="text1"/>
                <w:lang w:val="ro-MD"/>
              </w:rPr>
              <w:t>Calculul valorii expunerii instrumentelor financiare derivate</w:t>
            </w:r>
          </w:p>
        </w:tc>
        <w:tc>
          <w:tcPr>
            <w:tcW w:w="1557" w:type="pct"/>
          </w:tcPr>
          <w:p w14:paraId="6E33713D" w14:textId="620E9D7A" w:rsidR="00816196" w:rsidRPr="004D6136" w:rsidRDefault="00816196" w:rsidP="00816196">
            <w:pPr>
              <w:spacing w:after="0" w:line="276" w:lineRule="auto"/>
              <w:jc w:val="both"/>
              <w:rPr>
                <w:rFonts w:ascii="Times New Roman" w:hAnsi="Times New Roman" w:cs="Times New Roman"/>
                <w:b/>
                <w:color w:val="000000" w:themeColor="text1"/>
                <w:lang w:val="ro-MD"/>
              </w:rPr>
            </w:pPr>
            <w:bookmarkStart w:id="16" w:name="_Hlk188368110"/>
            <w:r w:rsidRPr="004D6136">
              <w:rPr>
                <w:rFonts w:ascii="Times New Roman" w:hAnsi="Times New Roman" w:cs="Times New Roman"/>
                <w:b/>
                <w:color w:val="000000" w:themeColor="text1"/>
                <w:lang w:val="ro-MD"/>
              </w:rPr>
              <w:t>Secțiunea 5</w:t>
            </w:r>
          </w:p>
          <w:p w14:paraId="2E7D3237" w14:textId="65BC3619" w:rsidR="00816196" w:rsidRPr="004D6136" w:rsidRDefault="00D13CF9" w:rsidP="00816196">
            <w:pPr>
              <w:spacing w:after="0" w:line="276" w:lineRule="auto"/>
              <w:jc w:val="both"/>
              <w:rPr>
                <w:rFonts w:ascii="Times New Roman" w:hAnsi="Times New Roman" w:cs="Times New Roman"/>
                <w:b/>
                <w:color w:val="000000" w:themeColor="text1"/>
                <w:lang w:val="ro-MD"/>
              </w:rPr>
            </w:pPr>
            <w:r w:rsidRPr="004D6136">
              <w:rPr>
                <w:rFonts w:ascii="Times New Roman" w:hAnsi="Times New Roman" w:cs="Times New Roman"/>
                <w:b/>
                <w:color w:val="000000" w:themeColor="text1"/>
                <w:lang w:val="ro-MD"/>
              </w:rPr>
              <w:t>Calculul valorii expunerii instrumentelor financiare derivate</w:t>
            </w:r>
            <w:bookmarkEnd w:id="16"/>
          </w:p>
        </w:tc>
        <w:tc>
          <w:tcPr>
            <w:tcW w:w="585" w:type="pct"/>
          </w:tcPr>
          <w:p w14:paraId="13FC2E91" w14:textId="77777777" w:rsidR="00816196" w:rsidRPr="004D6136" w:rsidRDefault="00816196" w:rsidP="00816196">
            <w:pPr>
              <w:spacing w:line="276" w:lineRule="auto"/>
              <w:jc w:val="both"/>
              <w:rPr>
                <w:rFonts w:ascii="Times New Roman" w:hAnsi="Times New Roman" w:cs="Times New Roman"/>
                <w:bCs/>
                <w:color w:val="000000" w:themeColor="text1"/>
                <w:lang w:val="ro-MD"/>
              </w:rPr>
            </w:pPr>
          </w:p>
        </w:tc>
        <w:tc>
          <w:tcPr>
            <w:tcW w:w="1261" w:type="pct"/>
          </w:tcPr>
          <w:p w14:paraId="4C932832" w14:textId="77777777" w:rsidR="00816196" w:rsidRPr="004D6136" w:rsidRDefault="00816196" w:rsidP="00816196">
            <w:pPr>
              <w:spacing w:line="276" w:lineRule="auto"/>
              <w:jc w:val="both"/>
              <w:rPr>
                <w:rFonts w:ascii="Times New Roman" w:hAnsi="Times New Roman" w:cs="Times New Roman"/>
                <w:bCs/>
                <w:color w:val="000000" w:themeColor="text1"/>
                <w:lang w:val="ro-MD"/>
              </w:rPr>
            </w:pPr>
          </w:p>
        </w:tc>
      </w:tr>
      <w:tr w:rsidR="00816196" w:rsidRPr="004D6136" w14:paraId="032427C7" w14:textId="77777777" w:rsidTr="001E51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48395B76" w14:textId="4DF7440C" w:rsidR="00816196" w:rsidRPr="004D6136" w:rsidRDefault="00816196" w:rsidP="00BD2CA2">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(1)   Instituțiile calculează valoarea expunerii contractelor derivate enumerate în anexa II și a instrumentelor financiare derivate de credit, inclusiv a celor </w:t>
            </w:r>
            <w:proofErr w:type="spellStart"/>
            <w:r w:rsidRPr="004D6136">
              <w:rPr>
                <w:rFonts w:ascii="Times New Roman" w:hAnsi="Times New Roman" w:cs="Times New Roman"/>
                <w:bCs/>
                <w:color w:val="000000" w:themeColor="text1"/>
                <w:lang w:val="ro-MD"/>
              </w:rPr>
              <w:t>extrabilanțiere</w:t>
            </w:r>
            <w:proofErr w:type="spellEnd"/>
            <w:r w:rsidRPr="004D6136">
              <w:rPr>
                <w:rFonts w:ascii="Times New Roman" w:hAnsi="Times New Roman" w:cs="Times New Roman"/>
                <w:bCs/>
                <w:color w:val="000000" w:themeColor="text1"/>
                <w:lang w:val="ro-MD"/>
              </w:rPr>
              <w:t>, în conformitate cu metoda prevăzută în partea a treia titlul II capitolul 6 secțiunea 3.</w:t>
            </w:r>
          </w:p>
          <w:p w14:paraId="6E117EA9" w14:textId="7B2A6D8B"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Atunci când calculează valoarea expunerii, instituțiile pot să ia în considerare efectele contractelor de novație și ale altor acorduri de compensare în conformitate cu articolul 295. Instituțiile nu țin seama de compensarea între produse diferite, dar pot să compenseze în cadrul categoriei de produse menționate la articolul 272 punctul 25 litera (c) și al instrumentelor financiare derivate de credit, atunci când acestea fac obiectul unui acord de compensare contractuală între produse diferite menționat la articolul 295 litera (c).</w:t>
            </w:r>
          </w:p>
          <w:p w14:paraId="31F8683E" w14:textId="3034F868"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Instituțiile includ în indicatorul de măsurare a expunerii totale opțiunile vândute, chiar și în cazul în care valoarea expunerii acestora poate fi stabilită la zero în </w:t>
            </w:r>
            <w:r w:rsidRPr="004D6136">
              <w:rPr>
                <w:rFonts w:ascii="Times New Roman" w:hAnsi="Times New Roman" w:cs="Times New Roman"/>
                <w:bCs/>
                <w:color w:val="000000" w:themeColor="text1"/>
                <w:lang w:val="ro-MD"/>
              </w:rPr>
              <w:lastRenderedPageBreak/>
              <w:t>conformitate cu tratamentul prevăzut la articolul 274 alineatul (5).</w:t>
            </w:r>
          </w:p>
        </w:tc>
        <w:tc>
          <w:tcPr>
            <w:tcW w:w="1557" w:type="pct"/>
            <w:shd w:val="clear" w:color="auto" w:fill="auto"/>
          </w:tcPr>
          <w:p w14:paraId="1E466D03" w14:textId="72658499" w:rsidR="00816196" w:rsidRPr="004D6136" w:rsidRDefault="0000583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3</w:t>
            </w:r>
            <w:r w:rsidR="00BC5EB5" w:rsidRPr="004D6136">
              <w:rPr>
                <w:rFonts w:ascii="Times New Roman" w:hAnsi="Times New Roman" w:cs="Times New Roman"/>
                <w:bCs/>
                <w:color w:val="000000" w:themeColor="text1"/>
                <w:lang w:val="ro-MD"/>
              </w:rPr>
              <w:t>2</w:t>
            </w:r>
            <w:r w:rsidR="00816196" w:rsidRPr="004D6136">
              <w:rPr>
                <w:rFonts w:ascii="Times New Roman" w:hAnsi="Times New Roman" w:cs="Times New Roman"/>
                <w:bCs/>
                <w:color w:val="000000" w:themeColor="text1"/>
                <w:lang w:val="ro-MD"/>
              </w:rPr>
              <w:t xml:space="preserve">.   Băncile calculează valoarea expunerii contractelor derivate enumerate în anexa nr.1 din Regulamentul nr.114/2018 și a instrumentelor financiare derivate de credit, inclusiv a celor </w:t>
            </w:r>
            <w:proofErr w:type="spellStart"/>
            <w:r w:rsidR="00816196" w:rsidRPr="004D6136">
              <w:rPr>
                <w:rFonts w:ascii="Times New Roman" w:hAnsi="Times New Roman" w:cs="Times New Roman"/>
                <w:bCs/>
                <w:color w:val="000000" w:themeColor="text1"/>
                <w:lang w:val="ro-MD"/>
              </w:rPr>
              <w:t>extrabilanțiere</w:t>
            </w:r>
            <w:proofErr w:type="spellEnd"/>
            <w:r w:rsidR="00816196" w:rsidRPr="004D6136">
              <w:rPr>
                <w:rFonts w:ascii="Times New Roman" w:hAnsi="Times New Roman" w:cs="Times New Roman"/>
                <w:bCs/>
                <w:color w:val="000000" w:themeColor="text1"/>
                <w:lang w:val="ro-MD"/>
              </w:rPr>
              <w:t xml:space="preserve">, în conformitate cu abordarea standardizată din Regulamentul privind riscul de credit al </w:t>
            </w:r>
            <w:proofErr w:type="spellStart"/>
            <w:r w:rsidR="00816196" w:rsidRPr="004D6136">
              <w:rPr>
                <w:rFonts w:ascii="Times New Roman" w:hAnsi="Times New Roman" w:cs="Times New Roman"/>
                <w:bCs/>
                <w:color w:val="000000" w:themeColor="text1"/>
                <w:lang w:val="ro-MD"/>
              </w:rPr>
              <w:t>contrapărții</w:t>
            </w:r>
            <w:proofErr w:type="spellEnd"/>
            <w:r w:rsidR="00816196" w:rsidRPr="004D6136">
              <w:rPr>
                <w:rFonts w:ascii="Times New Roman" w:hAnsi="Times New Roman" w:cs="Times New Roman"/>
                <w:bCs/>
                <w:color w:val="000000" w:themeColor="text1"/>
                <w:lang w:val="ro-MD"/>
              </w:rPr>
              <w:t>.</w:t>
            </w:r>
          </w:p>
          <w:p w14:paraId="6138447A" w14:textId="4589E9FD" w:rsidR="00DC2DE3"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3</w:t>
            </w:r>
            <w:r w:rsidR="00BC5EB5" w:rsidRPr="004D6136">
              <w:rPr>
                <w:rFonts w:ascii="Times New Roman" w:hAnsi="Times New Roman" w:cs="Times New Roman"/>
                <w:bCs/>
                <w:color w:val="000000" w:themeColor="text1"/>
                <w:lang w:val="ro-MD"/>
              </w:rPr>
              <w:t>3</w:t>
            </w:r>
            <w:r w:rsidRPr="004D6136">
              <w:rPr>
                <w:rFonts w:ascii="Times New Roman" w:hAnsi="Times New Roman" w:cs="Times New Roman"/>
                <w:bCs/>
                <w:color w:val="000000" w:themeColor="text1"/>
                <w:lang w:val="ro-MD"/>
              </w:rPr>
              <w:t xml:space="preserve">. Atunci când calculează valoarea expunerii, băncile pot să ia în considerare efectele contractelor de novație și ale altor acorduri de compensare în conformitate cu </w:t>
            </w:r>
            <w:bookmarkStart w:id="17" w:name="_Hlk189138018"/>
            <w:r w:rsidR="00005836" w:rsidRPr="004D6136">
              <w:rPr>
                <w:rFonts w:ascii="Times New Roman" w:hAnsi="Times New Roman" w:cs="Times New Roman"/>
                <w:bCs/>
                <w:color w:val="000000" w:themeColor="text1"/>
                <w:lang w:val="ro-MD"/>
              </w:rPr>
              <w:t xml:space="preserve">Regulamentul privind riscul de credit al </w:t>
            </w:r>
            <w:proofErr w:type="spellStart"/>
            <w:r w:rsidR="00005836" w:rsidRPr="004D6136">
              <w:rPr>
                <w:rFonts w:ascii="Times New Roman" w:hAnsi="Times New Roman" w:cs="Times New Roman"/>
                <w:bCs/>
                <w:color w:val="000000" w:themeColor="text1"/>
                <w:lang w:val="ro-MD"/>
              </w:rPr>
              <w:t>contrapărții</w:t>
            </w:r>
            <w:proofErr w:type="spellEnd"/>
            <w:r w:rsidR="00005836" w:rsidRPr="004D6136">
              <w:rPr>
                <w:rFonts w:ascii="Times New Roman" w:hAnsi="Times New Roman" w:cs="Times New Roman"/>
                <w:bCs/>
                <w:color w:val="000000" w:themeColor="text1"/>
                <w:lang w:val="ro-MD"/>
              </w:rPr>
              <w:t xml:space="preserve"> pentru bănci</w:t>
            </w:r>
            <w:bookmarkEnd w:id="17"/>
            <w:r w:rsidRPr="004D6136">
              <w:rPr>
                <w:rFonts w:ascii="Times New Roman" w:hAnsi="Times New Roman" w:cs="Times New Roman"/>
                <w:bCs/>
                <w:color w:val="000000" w:themeColor="text1"/>
                <w:lang w:val="ro-MD"/>
              </w:rPr>
              <w:t xml:space="preserve">. </w:t>
            </w:r>
          </w:p>
          <w:p w14:paraId="21C3F249" w14:textId="25D01D0D"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3</w:t>
            </w:r>
            <w:r w:rsidR="00BC5EB5" w:rsidRPr="004D6136">
              <w:rPr>
                <w:rFonts w:ascii="Times New Roman" w:hAnsi="Times New Roman" w:cs="Times New Roman"/>
                <w:bCs/>
                <w:color w:val="000000" w:themeColor="text1"/>
                <w:lang w:val="ro-MD"/>
              </w:rPr>
              <w:t>4</w:t>
            </w:r>
            <w:r w:rsidRPr="004D6136">
              <w:rPr>
                <w:rFonts w:ascii="Times New Roman" w:hAnsi="Times New Roman" w:cs="Times New Roman"/>
                <w:bCs/>
                <w:color w:val="000000" w:themeColor="text1"/>
                <w:lang w:val="ro-MD"/>
              </w:rPr>
              <w:t>. Băncile includ în indicatorul de măsurare a expunerii totale opțiunile vândute, chiar și în cazul în care valoarea expunerii acestora poate fi stabilită la zero în conformitate cu tratamentul prevăzut la</w:t>
            </w:r>
            <w:r w:rsidR="00DA739B" w:rsidRPr="004D6136">
              <w:rPr>
                <w:rFonts w:ascii="Times New Roman" w:eastAsia="Times New Roman" w:hAnsi="Times New Roman" w:cs="Times New Roman"/>
                <w:bCs/>
                <w:sz w:val="24"/>
                <w:szCs w:val="24"/>
                <w:lang w:val="ro-MD" w:eastAsia="ro-MD"/>
              </w:rPr>
              <w:t xml:space="preserve"> </w:t>
            </w:r>
            <w:r w:rsidR="00DA739B" w:rsidRPr="004D6136">
              <w:rPr>
                <w:rFonts w:ascii="Times New Roman" w:hAnsi="Times New Roman" w:cs="Times New Roman"/>
                <w:bCs/>
                <w:color w:val="000000" w:themeColor="text1"/>
                <w:lang w:val="ro-MD"/>
              </w:rPr>
              <w:t>Regulamentul privind riscu</w:t>
            </w:r>
            <w:r w:rsidR="00632C0E" w:rsidRPr="004D6136">
              <w:rPr>
                <w:rFonts w:ascii="Times New Roman" w:hAnsi="Times New Roman" w:cs="Times New Roman"/>
                <w:bCs/>
                <w:color w:val="000000" w:themeColor="text1"/>
                <w:lang w:val="ro-MD"/>
              </w:rPr>
              <w:t>l</w:t>
            </w:r>
            <w:r w:rsidR="00DA739B" w:rsidRPr="004D6136">
              <w:rPr>
                <w:rFonts w:ascii="Times New Roman" w:hAnsi="Times New Roman" w:cs="Times New Roman"/>
                <w:bCs/>
                <w:color w:val="000000" w:themeColor="text1"/>
                <w:lang w:val="ro-MD"/>
              </w:rPr>
              <w:t xml:space="preserve"> de credit al </w:t>
            </w:r>
            <w:proofErr w:type="spellStart"/>
            <w:r w:rsidR="00DA739B" w:rsidRPr="004D6136">
              <w:rPr>
                <w:rFonts w:ascii="Times New Roman" w:hAnsi="Times New Roman" w:cs="Times New Roman"/>
                <w:bCs/>
                <w:color w:val="000000" w:themeColor="text1"/>
                <w:lang w:val="ro-MD"/>
              </w:rPr>
              <w:t>contrapărții</w:t>
            </w:r>
            <w:proofErr w:type="spellEnd"/>
            <w:r w:rsidR="00DA739B" w:rsidRPr="004D6136">
              <w:rPr>
                <w:rFonts w:ascii="Times New Roman" w:hAnsi="Times New Roman" w:cs="Times New Roman"/>
                <w:bCs/>
                <w:color w:val="000000" w:themeColor="text1"/>
                <w:lang w:val="ro-MD"/>
              </w:rPr>
              <w:t xml:space="preserve"> pentru bănci.</w:t>
            </w:r>
            <w:r w:rsidRPr="004D6136">
              <w:rPr>
                <w:rFonts w:ascii="Times New Roman" w:hAnsi="Times New Roman" w:cs="Times New Roman"/>
                <w:bCs/>
                <w:color w:val="000000" w:themeColor="text1"/>
                <w:lang w:val="ro-MD"/>
              </w:rPr>
              <w:t xml:space="preserve"> </w:t>
            </w:r>
          </w:p>
        </w:tc>
        <w:tc>
          <w:tcPr>
            <w:tcW w:w="585" w:type="pct"/>
          </w:tcPr>
          <w:p w14:paraId="7532933D" w14:textId="21AD8E50" w:rsidR="00816196" w:rsidRPr="004D6136" w:rsidRDefault="00005836" w:rsidP="00816196">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Parțial compatibil</w:t>
            </w:r>
          </w:p>
        </w:tc>
        <w:tc>
          <w:tcPr>
            <w:tcW w:w="1261" w:type="pct"/>
          </w:tcPr>
          <w:p w14:paraId="30477842" w14:textId="2392523E" w:rsidR="00816196" w:rsidRPr="004D6136" w:rsidRDefault="00005836" w:rsidP="00DC2DE3">
            <w:pPr>
              <w:spacing w:after="0" w:line="276" w:lineRule="auto"/>
              <w:jc w:val="both"/>
              <w:rPr>
                <w:rFonts w:ascii="Times New Roman" w:eastAsia="Times New Roman" w:hAnsi="Times New Roman" w:cs="Times New Roman"/>
                <w:bCs/>
                <w:color w:val="000000" w:themeColor="text1"/>
                <w:sz w:val="24"/>
                <w:szCs w:val="24"/>
                <w:lang w:val="ro-MD" w:eastAsia="ro-MD"/>
              </w:rPr>
            </w:pPr>
            <w:r w:rsidRPr="004D6136">
              <w:rPr>
                <w:rFonts w:ascii="Times New Roman" w:hAnsi="Times New Roman" w:cs="Times New Roman"/>
                <w:bCs/>
                <w:color w:val="000000" w:themeColor="text1"/>
                <w:lang w:val="ro-MD"/>
              </w:rPr>
              <w:t>Propoziția a doua din paragraful doi nu a fost transpusă deoarece face trimitere la acordurile de compensare contractuală între produse diferite, în cazul instituțiilor care aplica metoda modelului intern, care va fi transpus la o etapă ulterioară în reglementările ce țin de abordarea IRB.</w:t>
            </w:r>
            <w:r w:rsidRPr="004D6136">
              <w:rPr>
                <w:bCs/>
                <w:color w:val="000000" w:themeColor="text1"/>
                <w:lang w:val="it-IT"/>
              </w:rPr>
              <w:t xml:space="preserve">   </w:t>
            </w:r>
          </w:p>
        </w:tc>
      </w:tr>
      <w:tr w:rsidR="00816196" w:rsidRPr="004D6136" w14:paraId="61078B37" w14:textId="77777777" w:rsidTr="001E51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660C9F78" w14:textId="05605617"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(2)   În cazul în care furnizarea garanțiilor reale conexe contractelor derivate reduce cuantumul activelor în temeiul cadrului contabil aplicabil, instituțiile reiau reducerea respectivă.</w:t>
            </w:r>
          </w:p>
        </w:tc>
        <w:tc>
          <w:tcPr>
            <w:tcW w:w="1557" w:type="pct"/>
            <w:shd w:val="clear" w:color="auto" w:fill="auto"/>
          </w:tcPr>
          <w:p w14:paraId="0D4E9FEE" w14:textId="73F82F2F" w:rsidR="00816196" w:rsidRPr="004D6136" w:rsidRDefault="00DA739B"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3</w:t>
            </w:r>
            <w:r w:rsidR="00BC5EB5" w:rsidRPr="004D6136">
              <w:rPr>
                <w:rFonts w:ascii="Times New Roman" w:hAnsi="Times New Roman" w:cs="Times New Roman"/>
                <w:bCs/>
                <w:color w:val="000000" w:themeColor="text1"/>
                <w:lang w:val="ro-MD"/>
              </w:rPr>
              <w:t>5</w:t>
            </w:r>
            <w:r w:rsidR="00816196" w:rsidRPr="004D6136">
              <w:rPr>
                <w:rFonts w:ascii="Times New Roman" w:hAnsi="Times New Roman" w:cs="Times New Roman"/>
                <w:bCs/>
                <w:color w:val="000000" w:themeColor="text1"/>
                <w:lang w:val="ro-MD"/>
              </w:rPr>
              <w:t>.   În cazul în care furnizarea garanțiilor reale conexe contractelor derivate reduce cuantumul activelor în temeiul cadrului contabil aplicabil, băncile reiau reducerea respectivă.</w:t>
            </w:r>
          </w:p>
        </w:tc>
        <w:tc>
          <w:tcPr>
            <w:tcW w:w="585" w:type="pct"/>
          </w:tcPr>
          <w:p w14:paraId="1C5A1F11" w14:textId="6C75D1B8" w:rsidR="00816196" w:rsidRPr="004D6136" w:rsidRDefault="00DA739B" w:rsidP="00816196">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compatibil</w:t>
            </w:r>
          </w:p>
        </w:tc>
        <w:tc>
          <w:tcPr>
            <w:tcW w:w="1261" w:type="pct"/>
          </w:tcPr>
          <w:p w14:paraId="48668C18" w14:textId="77777777" w:rsidR="00816196" w:rsidRPr="004D6136" w:rsidRDefault="00816196" w:rsidP="00816196">
            <w:pPr>
              <w:spacing w:line="276" w:lineRule="auto"/>
              <w:jc w:val="both"/>
              <w:rPr>
                <w:rFonts w:ascii="Times New Roman" w:hAnsi="Times New Roman" w:cs="Times New Roman"/>
                <w:bCs/>
                <w:color w:val="000000" w:themeColor="text1"/>
                <w:lang w:val="ro-MD"/>
              </w:rPr>
            </w:pPr>
          </w:p>
        </w:tc>
      </w:tr>
      <w:tr w:rsidR="00816196" w:rsidRPr="004D6136" w14:paraId="55855E04" w14:textId="77777777" w:rsidTr="001E51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0744CD9B" w14:textId="77777777"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
                <w:color w:val="000000" w:themeColor="text1"/>
                <w:lang w:val="ro-MD"/>
              </w:rPr>
              <w:t>▼M17</w:t>
            </w:r>
          </w:p>
          <w:p w14:paraId="401DC405" w14:textId="77777777"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(3)   În sensul alineatului (1) de la prezentul articol, instituțiile care calculează costul de înlocuire a contractelor derivate în conformitate cu articolul 275 pot recunoaște drept marjă de variație, astfel cum este menționată la articolul 275, doar garanțiile reale primite în numerar de la </w:t>
            </w:r>
            <w:proofErr w:type="spellStart"/>
            <w:r w:rsidRPr="004D6136">
              <w:rPr>
                <w:rFonts w:ascii="Times New Roman" w:hAnsi="Times New Roman" w:cs="Times New Roman"/>
                <w:bCs/>
                <w:color w:val="000000" w:themeColor="text1"/>
                <w:lang w:val="ro-MD"/>
              </w:rPr>
              <w:t>contrapărțile</w:t>
            </w:r>
            <w:proofErr w:type="spellEnd"/>
            <w:r w:rsidRPr="004D6136">
              <w:rPr>
                <w:rFonts w:ascii="Times New Roman" w:hAnsi="Times New Roman" w:cs="Times New Roman"/>
                <w:bCs/>
                <w:color w:val="000000" w:themeColor="text1"/>
                <w:lang w:val="ro-MD"/>
              </w:rPr>
              <w:t xml:space="preserve"> lor, în cazul în care cadrul contabil aplicabil nu a recunoscut deja marja de variație drept o reducere a valorii expunerii și în cazul în care sunt îndeplinite cumulativ următoarele condiții:</w:t>
            </w:r>
          </w:p>
          <w:p w14:paraId="29F7DE1B" w14:textId="0A00ED22"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(a) pentru tranzacțiile care nu sunt compensate printr-o CPCC, fondurile în numerar primite de </w:t>
            </w:r>
            <w:proofErr w:type="spellStart"/>
            <w:r w:rsidRPr="004D6136">
              <w:rPr>
                <w:rFonts w:ascii="Times New Roman" w:hAnsi="Times New Roman" w:cs="Times New Roman"/>
                <w:bCs/>
                <w:color w:val="000000" w:themeColor="text1"/>
                <w:lang w:val="ro-MD"/>
              </w:rPr>
              <w:t>contrapartea</w:t>
            </w:r>
            <w:proofErr w:type="spellEnd"/>
            <w:r w:rsidRPr="004D6136">
              <w:rPr>
                <w:rFonts w:ascii="Times New Roman" w:hAnsi="Times New Roman" w:cs="Times New Roman"/>
                <w:bCs/>
                <w:color w:val="000000" w:themeColor="text1"/>
                <w:lang w:val="ro-MD"/>
              </w:rPr>
              <w:t xml:space="preserve"> destinatară nu sunt separate de activele instituției;</w:t>
            </w:r>
          </w:p>
          <w:p w14:paraId="145B5094" w14:textId="137E6630"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(b) marja de variație se calculează și face obiectul schimbului cel puțin zilnic pe baza evaluării la prețul pieței a pozițiilor pe instrumente financiare derivate;</w:t>
            </w:r>
          </w:p>
          <w:p w14:paraId="2ED1C961" w14:textId="229C40D7"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(c) marja de variație primită este denominată într-o monedă specificată în contractul derivat, în acordul-</w:t>
            </w:r>
            <w:r w:rsidRPr="004D6136">
              <w:rPr>
                <w:rFonts w:ascii="Times New Roman" w:hAnsi="Times New Roman" w:cs="Times New Roman"/>
                <w:bCs/>
                <w:color w:val="000000" w:themeColor="text1"/>
                <w:lang w:val="ro-MD"/>
              </w:rPr>
              <w:lastRenderedPageBreak/>
              <w:t>cadru de compensare aplicabil, în anexa de garantare a creditului la acordul-cadru de compensare eligibil sau astfel cum se stabilește în orice acord de compensare cu o CPCC;</w:t>
            </w:r>
          </w:p>
          <w:p w14:paraId="2E92F3AB" w14:textId="7091DEC7"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(d) marja de variație primită este suma totală care ar fi necesară pentru a stinge expunerea la prețul pieței a contractului derivat care face obiectul pragului și al sumelor minime de transfer care sunt aplicabile </w:t>
            </w:r>
            <w:proofErr w:type="spellStart"/>
            <w:r w:rsidRPr="004D6136">
              <w:rPr>
                <w:rFonts w:ascii="Times New Roman" w:hAnsi="Times New Roman" w:cs="Times New Roman"/>
                <w:bCs/>
                <w:color w:val="000000" w:themeColor="text1"/>
                <w:lang w:val="ro-MD"/>
              </w:rPr>
              <w:t>contrapărții</w:t>
            </w:r>
            <w:proofErr w:type="spellEnd"/>
            <w:r w:rsidRPr="004D6136">
              <w:rPr>
                <w:rFonts w:ascii="Times New Roman" w:hAnsi="Times New Roman" w:cs="Times New Roman"/>
                <w:bCs/>
                <w:color w:val="000000" w:themeColor="text1"/>
                <w:lang w:val="ro-MD"/>
              </w:rPr>
              <w:t>;</w:t>
            </w:r>
          </w:p>
          <w:p w14:paraId="69BDEE6E" w14:textId="06DD9934"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(e) contractul derivat și marja de variație între instituție și </w:t>
            </w:r>
            <w:proofErr w:type="spellStart"/>
            <w:r w:rsidRPr="004D6136">
              <w:rPr>
                <w:rFonts w:ascii="Times New Roman" w:hAnsi="Times New Roman" w:cs="Times New Roman"/>
                <w:bCs/>
                <w:color w:val="000000" w:themeColor="text1"/>
                <w:lang w:val="ro-MD"/>
              </w:rPr>
              <w:t>contrapartea</w:t>
            </w:r>
            <w:proofErr w:type="spellEnd"/>
            <w:r w:rsidRPr="004D6136">
              <w:rPr>
                <w:rFonts w:ascii="Times New Roman" w:hAnsi="Times New Roman" w:cs="Times New Roman"/>
                <w:bCs/>
                <w:color w:val="000000" w:themeColor="text1"/>
                <w:lang w:val="ro-MD"/>
              </w:rPr>
              <w:t xml:space="preserve"> la respectivul contract sunt acoperite de un singur acord de compensare pe care instituția îl poate trata ca diminuator de risc în conformitate cu articolul 295.</w:t>
            </w:r>
          </w:p>
          <w:p w14:paraId="22D6ABA9" w14:textId="7E4B0CB2"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În cazul în care o instituție oferă garanții reale în numerar unei </w:t>
            </w:r>
            <w:proofErr w:type="spellStart"/>
            <w:r w:rsidRPr="004D6136">
              <w:rPr>
                <w:rFonts w:ascii="Times New Roman" w:hAnsi="Times New Roman" w:cs="Times New Roman"/>
                <w:bCs/>
                <w:color w:val="000000" w:themeColor="text1"/>
                <w:lang w:val="ro-MD"/>
              </w:rPr>
              <w:t>contrapărți</w:t>
            </w:r>
            <w:proofErr w:type="spellEnd"/>
            <w:r w:rsidRPr="004D6136">
              <w:rPr>
                <w:rFonts w:ascii="Times New Roman" w:hAnsi="Times New Roman" w:cs="Times New Roman"/>
                <w:bCs/>
                <w:color w:val="000000" w:themeColor="text1"/>
                <w:lang w:val="ro-MD"/>
              </w:rPr>
              <w:t xml:space="preserve">, iar garanțiile în cauză respectă condițiile prevăzute la literele (a)-(e) de la primul paragraf, instituția consideră aceste garanții ca fiind marja de variație furnizată </w:t>
            </w:r>
            <w:proofErr w:type="spellStart"/>
            <w:r w:rsidRPr="004D6136">
              <w:rPr>
                <w:rFonts w:ascii="Times New Roman" w:hAnsi="Times New Roman" w:cs="Times New Roman"/>
                <w:bCs/>
                <w:color w:val="000000" w:themeColor="text1"/>
                <w:lang w:val="ro-MD"/>
              </w:rPr>
              <w:t>contrapărții</w:t>
            </w:r>
            <w:proofErr w:type="spellEnd"/>
            <w:r w:rsidRPr="004D6136">
              <w:rPr>
                <w:rFonts w:ascii="Times New Roman" w:hAnsi="Times New Roman" w:cs="Times New Roman"/>
                <w:bCs/>
                <w:color w:val="000000" w:themeColor="text1"/>
                <w:lang w:val="ro-MD"/>
              </w:rPr>
              <w:t xml:space="preserve"> și le include în calculul costului de înlocuire.</w:t>
            </w:r>
          </w:p>
          <w:p w14:paraId="0B87CCD7" w14:textId="2032FA55"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În sensul primului paragraf litera (b), se consideră că o instituție a îndeplinit condiția prevăzută la această literă atunci când marja de variație face obiectul schimbului în dimineața zilei de tranzacționare de după ziua de tranzacționare în care a fost stabilit contractul derivat, cu condiția ca schimbul să se bazeze pe valoarea </w:t>
            </w:r>
            <w:r w:rsidRPr="004D6136">
              <w:rPr>
                <w:rFonts w:ascii="Times New Roman" w:hAnsi="Times New Roman" w:cs="Times New Roman"/>
                <w:bCs/>
                <w:color w:val="000000" w:themeColor="text1"/>
                <w:lang w:val="ro-MD"/>
              </w:rPr>
              <w:lastRenderedPageBreak/>
              <w:t>contractului de la sfârșitul zilei de tranzacționare în care contractul a fost stabilit.</w:t>
            </w:r>
          </w:p>
          <w:p w14:paraId="7676FE86" w14:textId="73C9FC30"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În sensul primului paragraf litera (d), în cazul în care apare un litigiu privind marja, instituțiile pot recunoaște cuantumul garanțiilor reale care au făcut obiectul schimbului și care nu sunt vizate de litigiu.</w:t>
            </w:r>
          </w:p>
        </w:tc>
        <w:tc>
          <w:tcPr>
            <w:tcW w:w="1557" w:type="pct"/>
            <w:shd w:val="clear" w:color="auto" w:fill="auto"/>
          </w:tcPr>
          <w:p w14:paraId="368FF839" w14:textId="1991D2E3" w:rsidR="00816196" w:rsidRPr="004D6136" w:rsidRDefault="00DA739B"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3</w:t>
            </w:r>
            <w:r w:rsidR="00BC5EB5" w:rsidRPr="004D6136">
              <w:rPr>
                <w:rFonts w:ascii="Times New Roman" w:hAnsi="Times New Roman" w:cs="Times New Roman"/>
                <w:bCs/>
                <w:color w:val="000000" w:themeColor="text1"/>
                <w:lang w:val="ro-MD"/>
              </w:rPr>
              <w:t>6</w:t>
            </w:r>
            <w:r w:rsidR="00816196" w:rsidRPr="004D6136">
              <w:rPr>
                <w:rFonts w:ascii="Times New Roman" w:hAnsi="Times New Roman" w:cs="Times New Roman"/>
                <w:bCs/>
                <w:color w:val="000000" w:themeColor="text1"/>
                <w:lang w:val="ro-MD"/>
              </w:rPr>
              <w:t>.   În sensul pct.</w:t>
            </w:r>
            <w:r w:rsidR="00F5258A" w:rsidRPr="004D6136">
              <w:rPr>
                <w:rFonts w:ascii="Times New Roman" w:hAnsi="Times New Roman" w:cs="Times New Roman"/>
                <w:bCs/>
                <w:color w:val="000000" w:themeColor="text1"/>
                <w:lang w:val="ro-MD"/>
              </w:rPr>
              <w:t>3</w:t>
            </w:r>
            <w:r w:rsidR="00BC5EB5" w:rsidRPr="004D6136">
              <w:rPr>
                <w:rFonts w:ascii="Times New Roman" w:hAnsi="Times New Roman" w:cs="Times New Roman"/>
                <w:bCs/>
                <w:color w:val="000000" w:themeColor="text1"/>
                <w:lang w:val="ro-MD"/>
              </w:rPr>
              <w:t>2</w:t>
            </w:r>
            <w:r w:rsidR="00F5258A" w:rsidRPr="004D6136">
              <w:rPr>
                <w:rFonts w:ascii="Times New Roman" w:hAnsi="Times New Roman" w:cs="Times New Roman"/>
                <w:bCs/>
                <w:color w:val="000000" w:themeColor="text1"/>
                <w:lang w:val="ro-MD"/>
              </w:rPr>
              <w:t>-3</w:t>
            </w:r>
            <w:r w:rsidR="00BC5EB5" w:rsidRPr="004D6136">
              <w:rPr>
                <w:rFonts w:ascii="Times New Roman" w:hAnsi="Times New Roman" w:cs="Times New Roman"/>
                <w:bCs/>
                <w:color w:val="000000" w:themeColor="text1"/>
                <w:lang w:val="ro-MD"/>
              </w:rPr>
              <w:t>4</w:t>
            </w:r>
            <w:r w:rsidR="00816196" w:rsidRPr="004D6136">
              <w:rPr>
                <w:rFonts w:ascii="Times New Roman" w:hAnsi="Times New Roman" w:cs="Times New Roman"/>
                <w:bCs/>
                <w:color w:val="000000" w:themeColor="text1"/>
                <w:lang w:val="ro-MD"/>
              </w:rPr>
              <w:t xml:space="preserve">, băncile care calculează costul de înlocuire a contractelor derivate în conformitate cu </w:t>
            </w:r>
            <w:r w:rsidRPr="004D6136">
              <w:rPr>
                <w:rFonts w:ascii="Times New Roman" w:hAnsi="Times New Roman" w:cs="Times New Roman"/>
                <w:bCs/>
                <w:color w:val="000000" w:themeColor="text1"/>
                <w:lang w:val="ro-MD"/>
              </w:rPr>
              <w:t xml:space="preserve">Regulamentul cu privire la tratamentul riscului de credit al </w:t>
            </w:r>
            <w:proofErr w:type="spellStart"/>
            <w:r w:rsidRPr="004D6136">
              <w:rPr>
                <w:rFonts w:ascii="Times New Roman" w:hAnsi="Times New Roman" w:cs="Times New Roman"/>
                <w:bCs/>
                <w:color w:val="000000" w:themeColor="text1"/>
                <w:lang w:val="ro-MD"/>
              </w:rPr>
              <w:t>contrapărţii</w:t>
            </w:r>
            <w:proofErr w:type="spellEnd"/>
            <w:r w:rsidRPr="004D6136">
              <w:rPr>
                <w:rFonts w:ascii="Times New Roman" w:hAnsi="Times New Roman" w:cs="Times New Roman"/>
                <w:bCs/>
                <w:color w:val="000000" w:themeColor="text1"/>
                <w:lang w:val="ro-MD"/>
              </w:rPr>
              <w:t xml:space="preserve"> pentru bănci </w:t>
            </w:r>
            <w:r w:rsidR="00816196" w:rsidRPr="004D6136">
              <w:rPr>
                <w:rFonts w:ascii="Times New Roman" w:hAnsi="Times New Roman" w:cs="Times New Roman"/>
                <w:bCs/>
                <w:color w:val="000000" w:themeColor="text1"/>
                <w:lang w:val="ro-MD"/>
              </w:rPr>
              <w:t>pot recunoaște drept marjă de variație, astfel cum este menționată la</w:t>
            </w:r>
            <w:r w:rsidRPr="004D6136">
              <w:rPr>
                <w:rFonts w:ascii="Times New Roman" w:hAnsi="Times New Roman" w:cs="Times New Roman"/>
                <w:bCs/>
                <w:color w:val="000000" w:themeColor="text1"/>
                <w:lang w:val="ro-MD"/>
              </w:rPr>
              <w:t xml:space="preserve"> Regulamentul cu privire la tratamentul riscului de credit al </w:t>
            </w:r>
            <w:proofErr w:type="spellStart"/>
            <w:r w:rsidRPr="004D6136">
              <w:rPr>
                <w:rFonts w:ascii="Times New Roman" w:hAnsi="Times New Roman" w:cs="Times New Roman"/>
                <w:bCs/>
                <w:color w:val="000000" w:themeColor="text1"/>
                <w:lang w:val="ro-MD"/>
              </w:rPr>
              <w:t>contrapărţii</w:t>
            </w:r>
            <w:proofErr w:type="spellEnd"/>
            <w:r w:rsidRPr="004D6136">
              <w:rPr>
                <w:rFonts w:ascii="Times New Roman" w:hAnsi="Times New Roman" w:cs="Times New Roman"/>
                <w:bCs/>
                <w:color w:val="000000" w:themeColor="text1"/>
                <w:lang w:val="ro-MD"/>
              </w:rPr>
              <w:t xml:space="preserve"> pentru bănci</w:t>
            </w:r>
            <w:r w:rsidR="00816196" w:rsidRPr="004D6136">
              <w:rPr>
                <w:rFonts w:ascii="Times New Roman" w:hAnsi="Times New Roman" w:cs="Times New Roman"/>
                <w:bCs/>
                <w:color w:val="000000" w:themeColor="text1"/>
                <w:lang w:val="ro-MD"/>
              </w:rPr>
              <w:t xml:space="preserve">, doar garanțiile reale primite în numerar de la </w:t>
            </w:r>
            <w:proofErr w:type="spellStart"/>
            <w:r w:rsidR="00816196" w:rsidRPr="004D6136">
              <w:rPr>
                <w:rFonts w:ascii="Times New Roman" w:hAnsi="Times New Roman" w:cs="Times New Roman"/>
                <w:bCs/>
                <w:color w:val="000000" w:themeColor="text1"/>
                <w:lang w:val="ro-MD"/>
              </w:rPr>
              <w:t>contrapărțile</w:t>
            </w:r>
            <w:proofErr w:type="spellEnd"/>
            <w:r w:rsidR="00816196" w:rsidRPr="004D6136">
              <w:rPr>
                <w:rFonts w:ascii="Times New Roman" w:hAnsi="Times New Roman" w:cs="Times New Roman"/>
                <w:bCs/>
                <w:color w:val="000000" w:themeColor="text1"/>
                <w:lang w:val="ro-MD"/>
              </w:rPr>
              <w:t xml:space="preserve"> lor, în cazul în care</w:t>
            </w:r>
            <w:r w:rsidR="006D2495" w:rsidRPr="004D6136">
              <w:rPr>
                <w:rFonts w:ascii="Times New Roman" w:hAnsi="Times New Roman" w:cs="Times New Roman"/>
                <w:bCs/>
                <w:color w:val="000000" w:themeColor="text1"/>
                <w:lang w:val="ro-MD"/>
              </w:rPr>
              <w:t xml:space="preserve"> conform</w:t>
            </w:r>
            <w:r w:rsidR="00816196" w:rsidRPr="004D6136">
              <w:rPr>
                <w:rFonts w:ascii="Times New Roman" w:hAnsi="Times New Roman" w:cs="Times New Roman"/>
                <w:bCs/>
                <w:color w:val="000000" w:themeColor="text1"/>
                <w:lang w:val="ro-MD"/>
              </w:rPr>
              <w:t xml:space="preserve"> cadrul</w:t>
            </w:r>
            <w:r w:rsidR="006D2495" w:rsidRPr="004D6136">
              <w:rPr>
                <w:rFonts w:ascii="Times New Roman" w:hAnsi="Times New Roman" w:cs="Times New Roman"/>
                <w:bCs/>
                <w:color w:val="000000" w:themeColor="text1"/>
                <w:lang w:val="ro-MD"/>
              </w:rPr>
              <w:t>ui</w:t>
            </w:r>
            <w:r w:rsidR="00816196" w:rsidRPr="004D6136">
              <w:rPr>
                <w:rFonts w:ascii="Times New Roman" w:hAnsi="Times New Roman" w:cs="Times New Roman"/>
                <w:bCs/>
                <w:color w:val="000000" w:themeColor="text1"/>
                <w:lang w:val="ro-MD"/>
              </w:rPr>
              <w:t xml:space="preserve"> contabil aplicabil nu a </w:t>
            </w:r>
            <w:r w:rsidR="006D2495" w:rsidRPr="004D6136">
              <w:rPr>
                <w:rFonts w:ascii="Times New Roman" w:hAnsi="Times New Roman" w:cs="Times New Roman"/>
                <w:bCs/>
                <w:color w:val="000000" w:themeColor="text1"/>
                <w:lang w:val="ro-MD"/>
              </w:rPr>
              <w:t xml:space="preserve">fost </w:t>
            </w:r>
            <w:r w:rsidR="00816196" w:rsidRPr="004D6136">
              <w:rPr>
                <w:rFonts w:ascii="Times New Roman" w:hAnsi="Times New Roman" w:cs="Times New Roman"/>
                <w:bCs/>
                <w:color w:val="000000" w:themeColor="text1"/>
                <w:lang w:val="ro-MD"/>
              </w:rPr>
              <w:t>recunoscut</w:t>
            </w:r>
            <w:r w:rsidR="006D2495" w:rsidRPr="004D6136">
              <w:rPr>
                <w:rFonts w:ascii="Times New Roman" w:hAnsi="Times New Roman" w:cs="Times New Roman"/>
                <w:bCs/>
                <w:color w:val="000000" w:themeColor="text1"/>
                <w:lang w:val="ro-MD"/>
              </w:rPr>
              <w:t>ă</w:t>
            </w:r>
            <w:r w:rsidR="00816196" w:rsidRPr="004D6136">
              <w:rPr>
                <w:rFonts w:ascii="Times New Roman" w:hAnsi="Times New Roman" w:cs="Times New Roman"/>
                <w:bCs/>
                <w:color w:val="000000" w:themeColor="text1"/>
                <w:lang w:val="ro-MD"/>
              </w:rPr>
              <w:t xml:space="preserve"> deja marja de variație drept o reducere a valorii expunerii și în cazul în care sunt îndeplinite cumulativ următoarele condiții:</w:t>
            </w:r>
          </w:p>
          <w:p w14:paraId="4C3281DE" w14:textId="237B2510" w:rsidR="00816196" w:rsidRPr="004D6136" w:rsidRDefault="00DA739B"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3</w:t>
            </w:r>
            <w:r w:rsidR="00BC5EB5" w:rsidRPr="004D6136">
              <w:rPr>
                <w:rFonts w:ascii="Times New Roman" w:hAnsi="Times New Roman" w:cs="Times New Roman"/>
                <w:bCs/>
                <w:color w:val="000000" w:themeColor="text1"/>
                <w:lang w:val="ro-MD"/>
              </w:rPr>
              <w:t>6</w:t>
            </w:r>
            <w:r w:rsidR="00816196" w:rsidRPr="004D6136">
              <w:rPr>
                <w:rFonts w:ascii="Times New Roman" w:hAnsi="Times New Roman" w:cs="Times New Roman"/>
                <w:bCs/>
                <w:color w:val="000000" w:themeColor="text1"/>
                <w:lang w:val="ro-MD"/>
              </w:rPr>
              <w:t xml:space="preserve">.1. pentru tranzacțiile care nu sunt compensate printr-o CPCC, fondurile în numerar primite de </w:t>
            </w:r>
            <w:proofErr w:type="spellStart"/>
            <w:r w:rsidR="00816196" w:rsidRPr="004D6136">
              <w:rPr>
                <w:rFonts w:ascii="Times New Roman" w:hAnsi="Times New Roman" w:cs="Times New Roman"/>
                <w:bCs/>
                <w:color w:val="000000" w:themeColor="text1"/>
                <w:lang w:val="ro-MD"/>
              </w:rPr>
              <w:t>contrapartea</w:t>
            </w:r>
            <w:proofErr w:type="spellEnd"/>
            <w:r w:rsidR="00816196" w:rsidRPr="004D6136">
              <w:rPr>
                <w:rFonts w:ascii="Times New Roman" w:hAnsi="Times New Roman" w:cs="Times New Roman"/>
                <w:bCs/>
                <w:color w:val="000000" w:themeColor="text1"/>
                <w:lang w:val="ro-MD"/>
              </w:rPr>
              <w:t xml:space="preserve"> destinatară nu sunt separate de activele băncii;</w:t>
            </w:r>
          </w:p>
          <w:p w14:paraId="48ACEF59" w14:textId="4649A869" w:rsidR="00816196" w:rsidRPr="004D6136" w:rsidRDefault="00DA739B"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3</w:t>
            </w:r>
            <w:r w:rsidR="00BC5EB5" w:rsidRPr="004D6136">
              <w:rPr>
                <w:rFonts w:ascii="Times New Roman" w:hAnsi="Times New Roman" w:cs="Times New Roman"/>
                <w:bCs/>
                <w:color w:val="000000" w:themeColor="text1"/>
                <w:lang w:val="ro-MD"/>
              </w:rPr>
              <w:t>6</w:t>
            </w:r>
            <w:r w:rsidR="00816196" w:rsidRPr="004D6136">
              <w:rPr>
                <w:rFonts w:ascii="Times New Roman" w:hAnsi="Times New Roman" w:cs="Times New Roman"/>
                <w:bCs/>
                <w:color w:val="000000" w:themeColor="text1"/>
                <w:lang w:val="ro-MD"/>
              </w:rPr>
              <w:t>.2. marja de variație se calculează și face obiectul schimbului cel puțin zilnic pe baza evaluării la prețul pieței a pozițiilor pe instrumente financiare derivate;</w:t>
            </w:r>
          </w:p>
          <w:p w14:paraId="2D671109" w14:textId="12CE9692" w:rsidR="00816196" w:rsidRPr="004D6136" w:rsidRDefault="00DA739B"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3</w:t>
            </w:r>
            <w:r w:rsidR="00BC5EB5" w:rsidRPr="004D6136">
              <w:rPr>
                <w:rFonts w:ascii="Times New Roman" w:hAnsi="Times New Roman" w:cs="Times New Roman"/>
                <w:bCs/>
                <w:color w:val="000000" w:themeColor="text1"/>
                <w:lang w:val="ro-MD"/>
              </w:rPr>
              <w:t>6</w:t>
            </w:r>
            <w:r w:rsidR="00816196" w:rsidRPr="004D6136">
              <w:rPr>
                <w:rFonts w:ascii="Times New Roman" w:hAnsi="Times New Roman" w:cs="Times New Roman"/>
                <w:bCs/>
                <w:color w:val="000000" w:themeColor="text1"/>
                <w:lang w:val="ro-MD"/>
              </w:rPr>
              <w:t>.3. marja de variație primită este denominată într-o monedă specificată în contractul derivat, în acordul-cadru de compensare aplicabil, în anexa de garantare a creditului la acordul-cadru de compensare eligibil sau astfel cum se stabilește în orice acord de compensare cu o CPCC;</w:t>
            </w:r>
          </w:p>
          <w:p w14:paraId="660548BB" w14:textId="1A730B06" w:rsidR="00816196" w:rsidRPr="004D6136" w:rsidRDefault="00DA739B"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3</w:t>
            </w:r>
            <w:r w:rsidR="00BC5EB5" w:rsidRPr="004D6136">
              <w:rPr>
                <w:rFonts w:ascii="Times New Roman" w:hAnsi="Times New Roman" w:cs="Times New Roman"/>
                <w:bCs/>
                <w:color w:val="000000" w:themeColor="text1"/>
                <w:lang w:val="ro-MD"/>
              </w:rPr>
              <w:t>6</w:t>
            </w:r>
            <w:r w:rsidR="00816196" w:rsidRPr="004D6136">
              <w:rPr>
                <w:rFonts w:ascii="Times New Roman" w:hAnsi="Times New Roman" w:cs="Times New Roman"/>
                <w:bCs/>
                <w:color w:val="000000" w:themeColor="text1"/>
                <w:lang w:val="ro-MD"/>
              </w:rPr>
              <w:t xml:space="preserve">.4. marja de variație primită este suma totală care ar fi necesară pentru a stinge expunerea la prețul pieței a contractului derivat care face obiectul pragului și al sumelor minime de transfer care sunt aplicabile </w:t>
            </w:r>
            <w:proofErr w:type="spellStart"/>
            <w:r w:rsidR="00816196" w:rsidRPr="004D6136">
              <w:rPr>
                <w:rFonts w:ascii="Times New Roman" w:hAnsi="Times New Roman" w:cs="Times New Roman"/>
                <w:bCs/>
                <w:color w:val="000000" w:themeColor="text1"/>
                <w:lang w:val="ro-MD"/>
              </w:rPr>
              <w:t>contrapărții</w:t>
            </w:r>
            <w:proofErr w:type="spellEnd"/>
            <w:r w:rsidR="00816196" w:rsidRPr="004D6136">
              <w:rPr>
                <w:rFonts w:ascii="Times New Roman" w:hAnsi="Times New Roman" w:cs="Times New Roman"/>
                <w:bCs/>
                <w:color w:val="000000" w:themeColor="text1"/>
                <w:lang w:val="ro-MD"/>
              </w:rPr>
              <w:t>;</w:t>
            </w:r>
          </w:p>
          <w:p w14:paraId="73C40C31" w14:textId="0A53FD00" w:rsidR="00816196" w:rsidRPr="004D6136" w:rsidRDefault="00DA739B"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3</w:t>
            </w:r>
            <w:r w:rsidR="00BC5EB5" w:rsidRPr="004D6136">
              <w:rPr>
                <w:rFonts w:ascii="Times New Roman" w:hAnsi="Times New Roman" w:cs="Times New Roman"/>
                <w:bCs/>
                <w:color w:val="000000" w:themeColor="text1"/>
                <w:lang w:val="ro-MD"/>
              </w:rPr>
              <w:t>6</w:t>
            </w:r>
            <w:r w:rsidR="00816196" w:rsidRPr="004D6136">
              <w:rPr>
                <w:rFonts w:ascii="Times New Roman" w:hAnsi="Times New Roman" w:cs="Times New Roman"/>
                <w:bCs/>
                <w:color w:val="000000" w:themeColor="text1"/>
                <w:lang w:val="ro-MD"/>
              </w:rPr>
              <w:t xml:space="preserve">.5. contractul derivat și marja de variație între bancă și </w:t>
            </w:r>
            <w:proofErr w:type="spellStart"/>
            <w:r w:rsidR="00816196" w:rsidRPr="004D6136">
              <w:rPr>
                <w:rFonts w:ascii="Times New Roman" w:hAnsi="Times New Roman" w:cs="Times New Roman"/>
                <w:bCs/>
                <w:color w:val="000000" w:themeColor="text1"/>
                <w:lang w:val="ro-MD"/>
              </w:rPr>
              <w:t>contrapartea</w:t>
            </w:r>
            <w:proofErr w:type="spellEnd"/>
            <w:r w:rsidR="00816196" w:rsidRPr="004D6136">
              <w:rPr>
                <w:rFonts w:ascii="Times New Roman" w:hAnsi="Times New Roman" w:cs="Times New Roman"/>
                <w:bCs/>
                <w:color w:val="000000" w:themeColor="text1"/>
                <w:lang w:val="ro-MD"/>
              </w:rPr>
              <w:t xml:space="preserve"> la respectivul contract sunt acoperite de un singur acord de compensare pe care banca îl poate trata ca diminuator de risc în conformitate cu Regulamentul</w:t>
            </w:r>
            <w:r w:rsidR="00816196" w:rsidRPr="004D6136">
              <w:rPr>
                <w:lang w:val="it-IT"/>
              </w:rPr>
              <w:t xml:space="preserve"> </w:t>
            </w:r>
            <w:r w:rsidR="00816196" w:rsidRPr="004D6136">
              <w:rPr>
                <w:rFonts w:ascii="Times New Roman" w:hAnsi="Times New Roman" w:cs="Times New Roman"/>
                <w:bCs/>
                <w:color w:val="000000" w:themeColor="text1"/>
                <w:lang w:val="ro-MD"/>
              </w:rPr>
              <w:t xml:space="preserve">cu privire la tratamentul riscului de credit al </w:t>
            </w:r>
            <w:proofErr w:type="spellStart"/>
            <w:r w:rsidR="00816196" w:rsidRPr="004D6136">
              <w:rPr>
                <w:rFonts w:ascii="Times New Roman" w:hAnsi="Times New Roman" w:cs="Times New Roman"/>
                <w:bCs/>
                <w:color w:val="000000" w:themeColor="text1"/>
                <w:lang w:val="ro-MD"/>
              </w:rPr>
              <w:t>contrapărţii</w:t>
            </w:r>
            <w:proofErr w:type="spellEnd"/>
            <w:r w:rsidR="00816196" w:rsidRPr="004D6136">
              <w:rPr>
                <w:rFonts w:ascii="Times New Roman" w:hAnsi="Times New Roman" w:cs="Times New Roman"/>
                <w:bCs/>
                <w:color w:val="000000" w:themeColor="text1"/>
                <w:lang w:val="ro-MD"/>
              </w:rPr>
              <w:t xml:space="preserve"> pentru bănci  </w:t>
            </w:r>
          </w:p>
          <w:p w14:paraId="4314A0F9" w14:textId="1BF7E1ED" w:rsidR="00816196" w:rsidRPr="004D6136" w:rsidRDefault="00DA739B"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3</w:t>
            </w:r>
            <w:r w:rsidR="00BC5EB5" w:rsidRPr="004D6136">
              <w:rPr>
                <w:rFonts w:ascii="Times New Roman" w:hAnsi="Times New Roman" w:cs="Times New Roman"/>
                <w:bCs/>
                <w:color w:val="000000" w:themeColor="text1"/>
                <w:lang w:val="ro-MD"/>
              </w:rPr>
              <w:t>7</w:t>
            </w:r>
            <w:r w:rsidR="00816196" w:rsidRPr="004D6136">
              <w:rPr>
                <w:rFonts w:ascii="Times New Roman" w:hAnsi="Times New Roman" w:cs="Times New Roman"/>
                <w:bCs/>
                <w:color w:val="000000" w:themeColor="text1"/>
                <w:lang w:val="ro-MD"/>
              </w:rPr>
              <w:t xml:space="preserve">. În cazul în care o bancă oferă garanții reale în numerar unei </w:t>
            </w:r>
            <w:proofErr w:type="spellStart"/>
            <w:r w:rsidR="00816196" w:rsidRPr="004D6136">
              <w:rPr>
                <w:rFonts w:ascii="Times New Roman" w:hAnsi="Times New Roman" w:cs="Times New Roman"/>
                <w:bCs/>
                <w:color w:val="000000" w:themeColor="text1"/>
                <w:lang w:val="ro-MD"/>
              </w:rPr>
              <w:t>contrapărți</w:t>
            </w:r>
            <w:proofErr w:type="spellEnd"/>
            <w:r w:rsidR="00816196" w:rsidRPr="004D6136">
              <w:rPr>
                <w:rFonts w:ascii="Times New Roman" w:hAnsi="Times New Roman" w:cs="Times New Roman"/>
                <w:bCs/>
                <w:color w:val="000000" w:themeColor="text1"/>
                <w:lang w:val="ro-MD"/>
              </w:rPr>
              <w:t>, iar garanțiile în cauză respectă condițiile prevăzute la subpct.</w:t>
            </w:r>
            <w:r w:rsidRPr="004D6136">
              <w:rPr>
                <w:rFonts w:ascii="Times New Roman" w:hAnsi="Times New Roman" w:cs="Times New Roman"/>
                <w:bCs/>
                <w:color w:val="000000" w:themeColor="text1"/>
                <w:lang w:val="ro-MD"/>
              </w:rPr>
              <w:t>3</w:t>
            </w:r>
            <w:r w:rsidR="00BC5EB5" w:rsidRPr="004D6136">
              <w:rPr>
                <w:rFonts w:ascii="Times New Roman" w:hAnsi="Times New Roman" w:cs="Times New Roman"/>
                <w:bCs/>
                <w:color w:val="000000" w:themeColor="text1"/>
                <w:lang w:val="ro-MD"/>
              </w:rPr>
              <w:t>6</w:t>
            </w:r>
            <w:r w:rsidRPr="004D6136">
              <w:rPr>
                <w:rFonts w:ascii="Times New Roman" w:hAnsi="Times New Roman" w:cs="Times New Roman"/>
                <w:bCs/>
                <w:color w:val="000000" w:themeColor="text1"/>
                <w:lang w:val="ro-MD"/>
              </w:rPr>
              <w:t>.1-3</w:t>
            </w:r>
            <w:r w:rsidR="00BC5EB5" w:rsidRPr="004D6136">
              <w:rPr>
                <w:rFonts w:ascii="Times New Roman" w:hAnsi="Times New Roman" w:cs="Times New Roman"/>
                <w:bCs/>
                <w:color w:val="000000" w:themeColor="text1"/>
                <w:lang w:val="ro-MD"/>
              </w:rPr>
              <w:t>6</w:t>
            </w:r>
            <w:r w:rsidRPr="004D6136">
              <w:rPr>
                <w:rFonts w:ascii="Times New Roman" w:hAnsi="Times New Roman" w:cs="Times New Roman"/>
                <w:bCs/>
                <w:color w:val="000000" w:themeColor="text1"/>
                <w:lang w:val="ro-MD"/>
              </w:rPr>
              <w:t>.</w:t>
            </w:r>
            <w:r w:rsidR="00816196" w:rsidRPr="004D6136">
              <w:rPr>
                <w:rFonts w:ascii="Times New Roman" w:hAnsi="Times New Roman" w:cs="Times New Roman"/>
                <w:bCs/>
                <w:color w:val="000000" w:themeColor="text1"/>
                <w:lang w:val="ro-MD"/>
              </w:rPr>
              <w:t xml:space="preserve">5, banca consideră aceste garanții ca fiind marja de </w:t>
            </w:r>
            <w:r w:rsidR="00816196" w:rsidRPr="004D6136">
              <w:rPr>
                <w:rFonts w:ascii="Times New Roman" w:hAnsi="Times New Roman" w:cs="Times New Roman"/>
                <w:bCs/>
                <w:color w:val="000000" w:themeColor="text1"/>
                <w:lang w:val="ro-MD"/>
              </w:rPr>
              <w:lastRenderedPageBreak/>
              <w:t xml:space="preserve">variație furnizată </w:t>
            </w:r>
            <w:proofErr w:type="spellStart"/>
            <w:r w:rsidR="00816196" w:rsidRPr="004D6136">
              <w:rPr>
                <w:rFonts w:ascii="Times New Roman" w:hAnsi="Times New Roman" w:cs="Times New Roman"/>
                <w:bCs/>
                <w:color w:val="000000" w:themeColor="text1"/>
                <w:lang w:val="ro-MD"/>
              </w:rPr>
              <w:t>contrapărții</w:t>
            </w:r>
            <w:proofErr w:type="spellEnd"/>
            <w:r w:rsidR="00816196" w:rsidRPr="004D6136">
              <w:rPr>
                <w:rFonts w:ascii="Times New Roman" w:hAnsi="Times New Roman" w:cs="Times New Roman"/>
                <w:bCs/>
                <w:color w:val="000000" w:themeColor="text1"/>
                <w:lang w:val="ro-MD"/>
              </w:rPr>
              <w:t xml:space="preserve"> și le include în calculul costului de înlocuire.</w:t>
            </w:r>
          </w:p>
          <w:p w14:paraId="09703CF6" w14:textId="7ABA6A5C" w:rsidR="00816196" w:rsidRPr="004D6136" w:rsidRDefault="00DA739B"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3</w:t>
            </w:r>
            <w:r w:rsidR="00BC5EB5" w:rsidRPr="004D6136">
              <w:rPr>
                <w:rFonts w:ascii="Times New Roman" w:hAnsi="Times New Roman" w:cs="Times New Roman"/>
                <w:bCs/>
                <w:color w:val="000000" w:themeColor="text1"/>
                <w:lang w:val="ro-MD"/>
              </w:rPr>
              <w:t>8</w:t>
            </w:r>
            <w:r w:rsidR="00816196" w:rsidRPr="004D6136">
              <w:rPr>
                <w:rFonts w:ascii="Times New Roman" w:hAnsi="Times New Roman" w:cs="Times New Roman"/>
                <w:bCs/>
                <w:color w:val="000000" w:themeColor="text1"/>
                <w:lang w:val="ro-MD"/>
              </w:rPr>
              <w:t>. În sensul subpct.</w:t>
            </w:r>
            <w:r w:rsidRPr="004D6136">
              <w:rPr>
                <w:rFonts w:ascii="Times New Roman" w:hAnsi="Times New Roman" w:cs="Times New Roman"/>
                <w:bCs/>
                <w:color w:val="000000" w:themeColor="text1"/>
                <w:lang w:val="ro-MD"/>
              </w:rPr>
              <w:t>3</w:t>
            </w:r>
            <w:r w:rsidR="00BC5EB5" w:rsidRPr="004D6136">
              <w:rPr>
                <w:rFonts w:ascii="Times New Roman" w:hAnsi="Times New Roman" w:cs="Times New Roman"/>
                <w:bCs/>
                <w:color w:val="000000" w:themeColor="text1"/>
                <w:lang w:val="ro-MD"/>
              </w:rPr>
              <w:t>6</w:t>
            </w:r>
            <w:r w:rsidR="00816196" w:rsidRPr="004D6136">
              <w:rPr>
                <w:rFonts w:ascii="Times New Roman" w:hAnsi="Times New Roman" w:cs="Times New Roman"/>
                <w:bCs/>
                <w:color w:val="000000" w:themeColor="text1"/>
                <w:lang w:val="ro-MD"/>
              </w:rPr>
              <w:t>.2, se consideră că o bancă a îndeplinit condiția prevăzută la subpct.</w:t>
            </w:r>
            <w:r w:rsidRPr="004D6136">
              <w:rPr>
                <w:rFonts w:ascii="Times New Roman" w:hAnsi="Times New Roman" w:cs="Times New Roman"/>
                <w:bCs/>
                <w:color w:val="000000" w:themeColor="text1"/>
                <w:lang w:val="ro-MD"/>
              </w:rPr>
              <w:t>3</w:t>
            </w:r>
            <w:r w:rsidR="00BC5EB5" w:rsidRPr="004D6136">
              <w:rPr>
                <w:rFonts w:ascii="Times New Roman" w:hAnsi="Times New Roman" w:cs="Times New Roman"/>
                <w:bCs/>
                <w:color w:val="000000" w:themeColor="text1"/>
                <w:lang w:val="ro-MD"/>
              </w:rPr>
              <w:t>6</w:t>
            </w:r>
            <w:r w:rsidR="00816196" w:rsidRPr="004D6136">
              <w:rPr>
                <w:rFonts w:ascii="Times New Roman" w:hAnsi="Times New Roman" w:cs="Times New Roman"/>
                <w:bCs/>
                <w:color w:val="000000" w:themeColor="text1"/>
                <w:lang w:val="ro-MD"/>
              </w:rPr>
              <w:t>.2 atunci când marja de variație face obiectul schimbului în dimineața zilei de tranzacționare de după ziua de tranzacționare în care a fost stabilit contractul derivat, cu condiția ca schimbul să se bazeze pe valoarea contractului de la sfârșitul zilei de tranzacționare în care contractul a fost stabilit.</w:t>
            </w:r>
          </w:p>
          <w:p w14:paraId="4E0F48F9" w14:textId="7FE7CFC8" w:rsidR="00816196" w:rsidRPr="004D6136" w:rsidRDefault="00DA739B"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3</w:t>
            </w:r>
            <w:r w:rsidR="0084591F" w:rsidRPr="004D6136">
              <w:rPr>
                <w:rFonts w:ascii="Times New Roman" w:hAnsi="Times New Roman" w:cs="Times New Roman"/>
                <w:bCs/>
                <w:color w:val="000000" w:themeColor="text1"/>
                <w:lang w:val="ro-MD"/>
              </w:rPr>
              <w:t>9</w:t>
            </w:r>
            <w:r w:rsidR="00816196" w:rsidRPr="004D6136">
              <w:rPr>
                <w:rFonts w:ascii="Times New Roman" w:hAnsi="Times New Roman" w:cs="Times New Roman"/>
                <w:bCs/>
                <w:color w:val="000000" w:themeColor="text1"/>
                <w:lang w:val="ro-MD"/>
              </w:rPr>
              <w:t>. În sensul subpct.</w:t>
            </w:r>
            <w:r w:rsidRPr="004D6136">
              <w:rPr>
                <w:rFonts w:ascii="Times New Roman" w:hAnsi="Times New Roman" w:cs="Times New Roman"/>
                <w:bCs/>
                <w:color w:val="000000" w:themeColor="text1"/>
                <w:lang w:val="ro-MD"/>
              </w:rPr>
              <w:t>3</w:t>
            </w:r>
            <w:r w:rsidR="0084591F" w:rsidRPr="004D6136">
              <w:rPr>
                <w:rFonts w:ascii="Times New Roman" w:hAnsi="Times New Roman" w:cs="Times New Roman"/>
                <w:bCs/>
                <w:color w:val="000000" w:themeColor="text1"/>
                <w:lang w:val="ro-MD"/>
              </w:rPr>
              <w:t>6</w:t>
            </w:r>
            <w:r w:rsidR="00816196" w:rsidRPr="004D6136">
              <w:rPr>
                <w:rFonts w:ascii="Times New Roman" w:hAnsi="Times New Roman" w:cs="Times New Roman"/>
                <w:bCs/>
                <w:color w:val="000000" w:themeColor="text1"/>
                <w:lang w:val="ro-MD"/>
              </w:rPr>
              <w:t>.4, în cazul în care apare un litigiu privind marja, băncile pot recunoaște cuantumul garanțiilor reale care au făcut obiectul schimbului și care nu sunt vizate de litigiu.</w:t>
            </w:r>
          </w:p>
        </w:tc>
        <w:tc>
          <w:tcPr>
            <w:tcW w:w="585" w:type="pct"/>
          </w:tcPr>
          <w:p w14:paraId="3B6F60AF" w14:textId="0FF1868A" w:rsidR="00816196" w:rsidRPr="004D6136" w:rsidRDefault="00DA739B" w:rsidP="00816196">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compatibil</w:t>
            </w:r>
          </w:p>
        </w:tc>
        <w:tc>
          <w:tcPr>
            <w:tcW w:w="1261" w:type="pct"/>
          </w:tcPr>
          <w:p w14:paraId="3ADCE674" w14:textId="77777777" w:rsidR="00816196" w:rsidRPr="004D6136" w:rsidRDefault="00816196" w:rsidP="00816196">
            <w:pPr>
              <w:spacing w:line="276" w:lineRule="auto"/>
              <w:jc w:val="both"/>
              <w:rPr>
                <w:rFonts w:ascii="Times New Roman" w:hAnsi="Times New Roman" w:cs="Times New Roman"/>
                <w:bCs/>
                <w:color w:val="000000" w:themeColor="text1"/>
                <w:lang w:val="ro-MD"/>
              </w:rPr>
            </w:pPr>
          </w:p>
        </w:tc>
      </w:tr>
      <w:tr w:rsidR="00816196" w:rsidRPr="004D6136" w14:paraId="45C4D38A" w14:textId="77777777" w:rsidTr="001E51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499C01D1" w14:textId="77777777"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
                <w:color w:val="000000" w:themeColor="text1"/>
                <w:lang w:val="ro-MD"/>
              </w:rPr>
              <w:lastRenderedPageBreak/>
              <w:t>▼M17</w:t>
            </w:r>
          </w:p>
          <w:p w14:paraId="543EDA58" w14:textId="7BF181B4"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(4)   În sensul alineatului (1) de la prezentul articol, atunci când calculează NICA, astfel cum este definită la articolul 272 punctul 12a, instituțiile nu includ garanțiile reale primite.</w:t>
            </w:r>
          </w:p>
        </w:tc>
        <w:tc>
          <w:tcPr>
            <w:tcW w:w="1557" w:type="pct"/>
            <w:shd w:val="clear" w:color="auto" w:fill="auto"/>
          </w:tcPr>
          <w:p w14:paraId="0A4B3238" w14:textId="531D94C2" w:rsidR="00816196" w:rsidRPr="004D6136" w:rsidRDefault="0084591F"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40</w:t>
            </w:r>
            <w:r w:rsidR="00816196" w:rsidRPr="004D6136">
              <w:rPr>
                <w:rFonts w:ascii="Times New Roman" w:hAnsi="Times New Roman" w:cs="Times New Roman"/>
                <w:bCs/>
                <w:color w:val="000000" w:themeColor="text1"/>
                <w:lang w:val="ro-MD"/>
              </w:rPr>
              <w:t>.   În sensul pct.3</w:t>
            </w:r>
            <w:r w:rsidRPr="004D6136">
              <w:rPr>
                <w:rFonts w:ascii="Times New Roman" w:hAnsi="Times New Roman" w:cs="Times New Roman"/>
                <w:bCs/>
                <w:color w:val="000000" w:themeColor="text1"/>
                <w:lang w:val="ro-MD"/>
              </w:rPr>
              <w:t>2</w:t>
            </w:r>
            <w:r w:rsidR="00816196" w:rsidRPr="004D6136">
              <w:rPr>
                <w:rFonts w:ascii="Times New Roman" w:hAnsi="Times New Roman" w:cs="Times New Roman"/>
                <w:bCs/>
                <w:color w:val="000000" w:themeColor="text1"/>
                <w:lang w:val="ro-MD"/>
              </w:rPr>
              <w:t>-3</w:t>
            </w:r>
            <w:r w:rsidRPr="004D6136">
              <w:rPr>
                <w:rFonts w:ascii="Times New Roman" w:hAnsi="Times New Roman" w:cs="Times New Roman"/>
                <w:bCs/>
                <w:color w:val="000000" w:themeColor="text1"/>
                <w:lang w:val="ro-MD"/>
              </w:rPr>
              <w:t>4</w:t>
            </w:r>
            <w:r w:rsidR="00816196" w:rsidRPr="004D6136">
              <w:rPr>
                <w:rFonts w:ascii="Times New Roman" w:hAnsi="Times New Roman" w:cs="Times New Roman"/>
                <w:bCs/>
                <w:color w:val="000000" w:themeColor="text1"/>
                <w:lang w:val="ro-MD"/>
              </w:rPr>
              <w:t xml:space="preserve">, atunci când calculează </w:t>
            </w:r>
            <w:r w:rsidR="00AD246B" w:rsidRPr="004D6136">
              <w:rPr>
                <w:rFonts w:ascii="Times New Roman" w:hAnsi="Times New Roman" w:cs="Times New Roman"/>
                <w:bCs/>
                <w:color w:val="000000" w:themeColor="text1"/>
                <w:lang w:val="ro-MD"/>
              </w:rPr>
              <w:t xml:space="preserve">suma independentă netă a </w:t>
            </w:r>
            <w:proofErr w:type="spellStart"/>
            <w:r w:rsidR="00AD246B" w:rsidRPr="004D6136">
              <w:rPr>
                <w:rFonts w:ascii="Times New Roman" w:hAnsi="Times New Roman" w:cs="Times New Roman"/>
                <w:bCs/>
                <w:color w:val="000000" w:themeColor="text1"/>
                <w:lang w:val="ro-MD"/>
              </w:rPr>
              <w:t>garanţiilor</w:t>
            </w:r>
            <w:proofErr w:type="spellEnd"/>
            <w:r w:rsidR="00AD246B" w:rsidRPr="004D6136">
              <w:rPr>
                <w:rFonts w:ascii="Times New Roman" w:hAnsi="Times New Roman" w:cs="Times New Roman"/>
                <w:bCs/>
                <w:color w:val="000000" w:themeColor="text1"/>
                <w:lang w:val="ro-MD"/>
              </w:rPr>
              <w:t xml:space="preserve"> reale (</w:t>
            </w:r>
            <w:r w:rsidR="00816196" w:rsidRPr="004D6136">
              <w:rPr>
                <w:rFonts w:ascii="Times New Roman" w:hAnsi="Times New Roman" w:cs="Times New Roman"/>
                <w:bCs/>
                <w:color w:val="000000" w:themeColor="text1"/>
                <w:lang w:val="ro-MD"/>
              </w:rPr>
              <w:t>NICA</w:t>
            </w:r>
            <w:r w:rsidR="00AD246B" w:rsidRPr="004D6136">
              <w:rPr>
                <w:rFonts w:ascii="Times New Roman" w:hAnsi="Times New Roman" w:cs="Times New Roman"/>
                <w:bCs/>
                <w:color w:val="000000" w:themeColor="text1"/>
                <w:lang w:val="ro-MD"/>
              </w:rPr>
              <w:t>)</w:t>
            </w:r>
            <w:r w:rsidR="00816196" w:rsidRPr="004D6136">
              <w:rPr>
                <w:rFonts w:ascii="Times New Roman" w:hAnsi="Times New Roman" w:cs="Times New Roman"/>
                <w:bCs/>
                <w:color w:val="000000" w:themeColor="text1"/>
                <w:lang w:val="ro-MD"/>
              </w:rPr>
              <w:t xml:space="preserve">, astfel cum este definită la Regulamentul cu privire la tratamentul riscului de credit al </w:t>
            </w:r>
            <w:proofErr w:type="spellStart"/>
            <w:r w:rsidR="00816196" w:rsidRPr="004D6136">
              <w:rPr>
                <w:rFonts w:ascii="Times New Roman" w:hAnsi="Times New Roman" w:cs="Times New Roman"/>
                <w:bCs/>
                <w:color w:val="000000" w:themeColor="text1"/>
                <w:lang w:val="ro-MD"/>
              </w:rPr>
              <w:t>contrapărţii</w:t>
            </w:r>
            <w:proofErr w:type="spellEnd"/>
            <w:r w:rsidR="00816196" w:rsidRPr="004D6136">
              <w:rPr>
                <w:rFonts w:ascii="Times New Roman" w:hAnsi="Times New Roman" w:cs="Times New Roman"/>
                <w:bCs/>
                <w:color w:val="000000" w:themeColor="text1"/>
                <w:lang w:val="ro-MD"/>
              </w:rPr>
              <w:t xml:space="preserve"> pentru bănci, băncile nu includ garanțiile reale primite.</w:t>
            </w:r>
          </w:p>
        </w:tc>
        <w:tc>
          <w:tcPr>
            <w:tcW w:w="585" w:type="pct"/>
          </w:tcPr>
          <w:p w14:paraId="01D2566E" w14:textId="02F02DE3" w:rsidR="00816196" w:rsidRPr="004D6136" w:rsidRDefault="00003578" w:rsidP="00816196">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compatibil</w:t>
            </w:r>
          </w:p>
        </w:tc>
        <w:tc>
          <w:tcPr>
            <w:tcW w:w="1261" w:type="pct"/>
          </w:tcPr>
          <w:p w14:paraId="7D4A6365" w14:textId="77777777" w:rsidR="00816196" w:rsidRPr="004D6136" w:rsidRDefault="00816196" w:rsidP="00816196">
            <w:pPr>
              <w:spacing w:line="276" w:lineRule="auto"/>
              <w:jc w:val="both"/>
              <w:rPr>
                <w:rFonts w:ascii="Times New Roman" w:hAnsi="Times New Roman" w:cs="Times New Roman"/>
                <w:bCs/>
                <w:color w:val="000000" w:themeColor="text1"/>
                <w:lang w:val="ro-MD"/>
              </w:rPr>
            </w:pPr>
          </w:p>
        </w:tc>
      </w:tr>
      <w:tr w:rsidR="00816196" w:rsidRPr="004D6136" w14:paraId="2B80DC8F" w14:textId="77777777" w:rsidTr="001E51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75ADC7A3" w14:textId="77777777"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
                <w:color w:val="000000" w:themeColor="text1"/>
                <w:lang w:val="ro-MD"/>
              </w:rPr>
              <w:t>▼M17</w:t>
            </w:r>
          </w:p>
          <w:p w14:paraId="34DAFC27" w14:textId="6548BE3F"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(4a)   Prin derogare de la alineatele (3) și (4), o instituție poate recunoaște orice garanție reală primită în conformitate cu partea a treia titlul II capitolul 6 secțiunea 3, dacă sunt îndeplinite toate condițiile următoare:</w:t>
            </w:r>
          </w:p>
          <w:p w14:paraId="7ABBE131" w14:textId="7E03740D"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(a) garanția reală este primită de la un client pentru un contract derivat compensat de instituție în numele clientului respectiv;</w:t>
            </w:r>
          </w:p>
          <w:p w14:paraId="4D3A37C3" w14:textId="10296ACF"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(b) contractul menționat la litera (a) este compensat printr-o CPCC;</w:t>
            </w:r>
          </w:p>
          <w:p w14:paraId="52417DBD" w14:textId="2C31F50F"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(c) dacă garanția reală a fost primită sub formă de marjă inițială, garanția reală respectivă este separată de activele instituției.</w:t>
            </w:r>
          </w:p>
        </w:tc>
        <w:tc>
          <w:tcPr>
            <w:tcW w:w="1557" w:type="pct"/>
            <w:shd w:val="clear" w:color="auto" w:fill="auto"/>
          </w:tcPr>
          <w:p w14:paraId="056E0805" w14:textId="30E0B350" w:rsidR="00816196" w:rsidRPr="004D6136" w:rsidRDefault="000070C9"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4</w:t>
            </w:r>
            <w:r w:rsidR="0084591F" w:rsidRPr="004D6136">
              <w:rPr>
                <w:rFonts w:ascii="Times New Roman" w:hAnsi="Times New Roman" w:cs="Times New Roman"/>
                <w:bCs/>
                <w:color w:val="000000" w:themeColor="text1"/>
                <w:lang w:val="ro-MD"/>
              </w:rPr>
              <w:t>1</w:t>
            </w:r>
            <w:r w:rsidR="00816196" w:rsidRPr="004D6136">
              <w:rPr>
                <w:rFonts w:ascii="Times New Roman" w:hAnsi="Times New Roman" w:cs="Times New Roman"/>
                <w:bCs/>
                <w:color w:val="000000" w:themeColor="text1"/>
                <w:lang w:val="ro-MD"/>
              </w:rPr>
              <w:t>.   Prin derogare de la pct.</w:t>
            </w:r>
            <w:r w:rsidR="00522AEC" w:rsidRPr="004D6136">
              <w:rPr>
                <w:rFonts w:ascii="Times New Roman" w:hAnsi="Times New Roman" w:cs="Times New Roman"/>
                <w:bCs/>
                <w:color w:val="000000" w:themeColor="text1"/>
                <w:lang w:val="ro-MD"/>
              </w:rPr>
              <w:t>3</w:t>
            </w:r>
            <w:r w:rsidR="0084591F" w:rsidRPr="004D6136">
              <w:rPr>
                <w:rFonts w:ascii="Times New Roman" w:hAnsi="Times New Roman" w:cs="Times New Roman"/>
                <w:bCs/>
                <w:color w:val="000000" w:themeColor="text1"/>
                <w:lang w:val="ro-MD"/>
              </w:rPr>
              <w:t>6</w:t>
            </w:r>
            <w:r w:rsidR="00522AEC" w:rsidRPr="004D6136">
              <w:rPr>
                <w:rFonts w:ascii="Times New Roman" w:hAnsi="Times New Roman" w:cs="Times New Roman"/>
                <w:bCs/>
                <w:color w:val="000000" w:themeColor="text1"/>
                <w:lang w:val="ro-MD"/>
              </w:rPr>
              <w:t>-</w:t>
            </w:r>
            <w:r w:rsidR="0084591F" w:rsidRPr="004D6136">
              <w:rPr>
                <w:rFonts w:ascii="Times New Roman" w:hAnsi="Times New Roman" w:cs="Times New Roman"/>
                <w:bCs/>
                <w:color w:val="000000" w:themeColor="text1"/>
                <w:lang w:val="ro-MD"/>
              </w:rPr>
              <w:t>40</w:t>
            </w:r>
            <w:r w:rsidR="00816196" w:rsidRPr="004D6136">
              <w:rPr>
                <w:rFonts w:ascii="Times New Roman" w:hAnsi="Times New Roman" w:cs="Times New Roman"/>
                <w:bCs/>
                <w:color w:val="000000" w:themeColor="text1"/>
                <w:lang w:val="ro-MD"/>
              </w:rPr>
              <w:t>, o bancă poate recunoaște orice garanție reală primită în conformitate cu</w:t>
            </w:r>
            <w:r w:rsidR="00DC2DE3" w:rsidRPr="004D6136">
              <w:rPr>
                <w:rFonts w:ascii="Times New Roman" w:hAnsi="Times New Roman" w:cs="Times New Roman"/>
                <w:bCs/>
                <w:color w:val="000000" w:themeColor="text1"/>
                <w:lang w:val="ro-MD"/>
              </w:rPr>
              <w:t xml:space="preserve"> </w:t>
            </w:r>
            <w:r w:rsidR="00816196" w:rsidRPr="004D6136">
              <w:rPr>
                <w:rFonts w:ascii="Times New Roman" w:hAnsi="Times New Roman" w:cs="Times New Roman"/>
                <w:bCs/>
                <w:color w:val="000000" w:themeColor="text1"/>
                <w:lang w:val="ro-MD"/>
              </w:rPr>
              <w:t xml:space="preserve">Regulamentul cu privire la tratamentul riscului de credit al </w:t>
            </w:r>
            <w:proofErr w:type="spellStart"/>
            <w:r w:rsidR="00816196" w:rsidRPr="004D6136">
              <w:rPr>
                <w:rFonts w:ascii="Times New Roman" w:hAnsi="Times New Roman" w:cs="Times New Roman"/>
                <w:bCs/>
                <w:color w:val="000000" w:themeColor="text1"/>
                <w:lang w:val="ro-MD"/>
              </w:rPr>
              <w:t>contrapărţii</w:t>
            </w:r>
            <w:proofErr w:type="spellEnd"/>
            <w:r w:rsidR="00816196" w:rsidRPr="004D6136">
              <w:rPr>
                <w:rFonts w:ascii="Times New Roman" w:hAnsi="Times New Roman" w:cs="Times New Roman"/>
                <w:bCs/>
                <w:color w:val="000000" w:themeColor="text1"/>
                <w:lang w:val="ro-MD"/>
              </w:rPr>
              <w:t xml:space="preserve"> pentru bănci, dacă sunt îndeplinite toate condițiile următoare:</w:t>
            </w:r>
          </w:p>
          <w:p w14:paraId="69366E2C" w14:textId="5DA10818" w:rsidR="00816196" w:rsidRPr="004D6136" w:rsidRDefault="00FB4B38"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4</w:t>
            </w:r>
            <w:r w:rsidR="0084591F" w:rsidRPr="004D6136">
              <w:rPr>
                <w:rFonts w:ascii="Times New Roman" w:hAnsi="Times New Roman" w:cs="Times New Roman"/>
                <w:bCs/>
                <w:color w:val="000000" w:themeColor="text1"/>
                <w:lang w:val="ro-MD"/>
              </w:rPr>
              <w:t>1</w:t>
            </w:r>
            <w:r w:rsidR="00816196" w:rsidRPr="004D6136">
              <w:rPr>
                <w:rFonts w:ascii="Times New Roman" w:hAnsi="Times New Roman" w:cs="Times New Roman"/>
                <w:bCs/>
                <w:color w:val="000000" w:themeColor="text1"/>
                <w:lang w:val="ro-MD"/>
              </w:rPr>
              <w:t>.1. garanția reală este primită de la un client pentru un contract derivat compensat de instituție în numele clientului respectiv;</w:t>
            </w:r>
          </w:p>
          <w:p w14:paraId="682D7D53" w14:textId="40C081B7" w:rsidR="00816196" w:rsidRPr="004D6136" w:rsidRDefault="00FB4B38"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4</w:t>
            </w:r>
            <w:r w:rsidR="0084591F" w:rsidRPr="004D6136">
              <w:rPr>
                <w:rFonts w:ascii="Times New Roman" w:hAnsi="Times New Roman" w:cs="Times New Roman"/>
                <w:bCs/>
                <w:color w:val="000000" w:themeColor="text1"/>
                <w:lang w:val="ro-MD"/>
              </w:rPr>
              <w:t>1</w:t>
            </w:r>
            <w:r w:rsidR="00816196" w:rsidRPr="004D6136">
              <w:rPr>
                <w:rFonts w:ascii="Times New Roman" w:hAnsi="Times New Roman" w:cs="Times New Roman"/>
                <w:bCs/>
                <w:color w:val="000000" w:themeColor="text1"/>
                <w:lang w:val="ro-MD"/>
              </w:rPr>
              <w:t>.2. contractul menționat la subpct.</w:t>
            </w:r>
            <w:r w:rsidR="0084591F" w:rsidRPr="004D6136">
              <w:rPr>
                <w:rFonts w:ascii="Times New Roman" w:hAnsi="Times New Roman" w:cs="Times New Roman"/>
                <w:bCs/>
                <w:color w:val="000000" w:themeColor="text1"/>
                <w:lang w:val="ro-MD"/>
              </w:rPr>
              <w:t>41</w:t>
            </w:r>
            <w:r w:rsidR="00816196" w:rsidRPr="004D6136">
              <w:rPr>
                <w:rFonts w:ascii="Times New Roman" w:hAnsi="Times New Roman" w:cs="Times New Roman"/>
                <w:bCs/>
                <w:color w:val="000000" w:themeColor="text1"/>
                <w:lang w:val="ro-MD"/>
              </w:rPr>
              <w:t>.1 este compensat printr-o CPCC;</w:t>
            </w:r>
          </w:p>
          <w:p w14:paraId="3581919B" w14:textId="27364156" w:rsidR="00816196" w:rsidRPr="004D6136" w:rsidRDefault="00FB4B38"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4</w:t>
            </w:r>
            <w:r w:rsidR="0084591F" w:rsidRPr="004D6136">
              <w:rPr>
                <w:rFonts w:ascii="Times New Roman" w:hAnsi="Times New Roman" w:cs="Times New Roman"/>
                <w:bCs/>
                <w:color w:val="000000" w:themeColor="text1"/>
                <w:lang w:val="ro-MD"/>
              </w:rPr>
              <w:t>1</w:t>
            </w:r>
            <w:r w:rsidR="00816196" w:rsidRPr="004D6136">
              <w:rPr>
                <w:rFonts w:ascii="Times New Roman" w:hAnsi="Times New Roman" w:cs="Times New Roman"/>
                <w:bCs/>
                <w:color w:val="000000" w:themeColor="text1"/>
                <w:lang w:val="ro-MD"/>
              </w:rPr>
              <w:t>.3. dacă garanția reală a fost primită sub formă de marjă inițială, garanția reală respectivă este separată de activele băncii.</w:t>
            </w:r>
          </w:p>
        </w:tc>
        <w:tc>
          <w:tcPr>
            <w:tcW w:w="585" w:type="pct"/>
          </w:tcPr>
          <w:p w14:paraId="46BBA7E6" w14:textId="550F1B07" w:rsidR="00816196" w:rsidRPr="004D6136" w:rsidRDefault="00003578" w:rsidP="00816196">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compatibil</w:t>
            </w:r>
          </w:p>
        </w:tc>
        <w:tc>
          <w:tcPr>
            <w:tcW w:w="1261" w:type="pct"/>
          </w:tcPr>
          <w:p w14:paraId="2824EC10" w14:textId="77777777" w:rsidR="00816196" w:rsidRPr="004D6136" w:rsidRDefault="00816196" w:rsidP="00816196">
            <w:pPr>
              <w:spacing w:line="276" w:lineRule="auto"/>
              <w:jc w:val="both"/>
              <w:rPr>
                <w:rFonts w:ascii="Times New Roman" w:hAnsi="Times New Roman" w:cs="Times New Roman"/>
                <w:bCs/>
                <w:color w:val="000000" w:themeColor="text1"/>
                <w:lang w:val="ro-MD"/>
              </w:rPr>
            </w:pPr>
          </w:p>
        </w:tc>
      </w:tr>
      <w:tr w:rsidR="00816196" w:rsidRPr="004D6136" w14:paraId="724C0C41" w14:textId="77777777" w:rsidTr="001E51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1FE3F7A6" w14:textId="4A29EECB"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(5)   În sensul alineatului (1) de la prezentul articol, instituțiile stabilesc ca valoarea multiplicatorului utilizat la calculul expunerii viitoare potențiale în conformitate cu articolul 278 alineatul (1) să fie egală cu unu, cu excepția cazurilor contractelor derivate încheiate cu clienți care sunt compensate de o CPCC.</w:t>
            </w:r>
          </w:p>
        </w:tc>
        <w:tc>
          <w:tcPr>
            <w:tcW w:w="1557" w:type="pct"/>
            <w:shd w:val="clear" w:color="auto" w:fill="auto"/>
          </w:tcPr>
          <w:p w14:paraId="07A057C7" w14:textId="374BDFED"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4</w:t>
            </w:r>
            <w:r w:rsidR="0084591F" w:rsidRPr="004D6136">
              <w:rPr>
                <w:rFonts w:ascii="Times New Roman" w:hAnsi="Times New Roman" w:cs="Times New Roman"/>
                <w:bCs/>
                <w:color w:val="000000" w:themeColor="text1"/>
                <w:lang w:val="ro-MD"/>
              </w:rPr>
              <w:t>2</w:t>
            </w:r>
            <w:r w:rsidRPr="004D6136">
              <w:rPr>
                <w:rFonts w:ascii="Times New Roman" w:hAnsi="Times New Roman" w:cs="Times New Roman"/>
                <w:bCs/>
                <w:color w:val="000000" w:themeColor="text1"/>
                <w:lang w:val="ro-MD"/>
              </w:rPr>
              <w:t>.   În sensul pct.3</w:t>
            </w:r>
            <w:r w:rsidR="0084591F" w:rsidRPr="004D6136">
              <w:rPr>
                <w:rFonts w:ascii="Times New Roman" w:hAnsi="Times New Roman" w:cs="Times New Roman"/>
                <w:bCs/>
                <w:color w:val="000000" w:themeColor="text1"/>
                <w:lang w:val="ro-MD"/>
              </w:rPr>
              <w:t>2</w:t>
            </w:r>
            <w:r w:rsidRPr="004D6136">
              <w:rPr>
                <w:rFonts w:ascii="Times New Roman" w:hAnsi="Times New Roman" w:cs="Times New Roman"/>
                <w:bCs/>
                <w:color w:val="000000" w:themeColor="text1"/>
                <w:lang w:val="ro-MD"/>
              </w:rPr>
              <w:t>-3</w:t>
            </w:r>
            <w:r w:rsidR="0084591F" w:rsidRPr="004D6136">
              <w:rPr>
                <w:rFonts w:ascii="Times New Roman" w:hAnsi="Times New Roman" w:cs="Times New Roman"/>
                <w:bCs/>
                <w:color w:val="000000" w:themeColor="text1"/>
                <w:lang w:val="ro-MD"/>
              </w:rPr>
              <w:t>4</w:t>
            </w:r>
            <w:r w:rsidRPr="004D6136">
              <w:rPr>
                <w:rFonts w:ascii="Times New Roman" w:hAnsi="Times New Roman" w:cs="Times New Roman"/>
                <w:bCs/>
                <w:color w:val="000000" w:themeColor="text1"/>
                <w:lang w:val="ro-MD"/>
              </w:rPr>
              <w:t xml:space="preserve">, băncile stabilesc ca valoarea multiplicatorului utilizat la calculul expunerii viitoare potențiale în conformitate cu Regulamentul cu privire la tratamentul riscului de credit al </w:t>
            </w:r>
            <w:proofErr w:type="spellStart"/>
            <w:r w:rsidRPr="004D6136">
              <w:rPr>
                <w:rFonts w:ascii="Times New Roman" w:hAnsi="Times New Roman" w:cs="Times New Roman"/>
                <w:bCs/>
                <w:color w:val="000000" w:themeColor="text1"/>
                <w:lang w:val="ro-MD"/>
              </w:rPr>
              <w:t>contrapărţii</w:t>
            </w:r>
            <w:proofErr w:type="spellEnd"/>
            <w:r w:rsidRPr="004D6136">
              <w:rPr>
                <w:rFonts w:ascii="Times New Roman" w:hAnsi="Times New Roman" w:cs="Times New Roman"/>
                <w:bCs/>
                <w:color w:val="000000" w:themeColor="text1"/>
                <w:lang w:val="ro-MD"/>
              </w:rPr>
              <w:t xml:space="preserve"> pentru bănci să fie egală cu unu, cu excepția cazurilor contractelor derivate încheiate cu clienți care sunt compensate de o CPCC.</w:t>
            </w:r>
          </w:p>
        </w:tc>
        <w:tc>
          <w:tcPr>
            <w:tcW w:w="585" w:type="pct"/>
          </w:tcPr>
          <w:p w14:paraId="2D5410CF" w14:textId="5DDEA999" w:rsidR="00816196" w:rsidRPr="004D6136" w:rsidRDefault="00003578" w:rsidP="00816196">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compatibil</w:t>
            </w:r>
          </w:p>
        </w:tc>
        <w:tc>
          <w:tcPr>
            <w:tcW w:w="1261" w:type="pct"/>
          </w:tcPr>
          <w:p w14:paraId="0D15B2CA" w14:textId="77777777" w:rsidR="00816196" w:rsidRPr="004D6136" w:rsidRDefault="00816196" w:rsidP="00816196">
            <w:pPr>
              <w:spacing w:line="276" w:lineRule="auto"/>
              <w:jc w:val="both"/>
              <w:rPr>
                <w:rFonts w:ascii="Times New Roman" w:hAnsi="Times New Roman" w:cs="Times New Roman"/>
                <w:bCs/>
                <w:color w:val="000000" w:themeColor="text1"/>
                <w:lang w:val="ro-MD"/>
              </w:rPr>
            </w:pPr>
          </w:p>
        </w:tc>
      </w:tr>
      <w:tr w:rsidR="00816196" w:rsidRPr="004D6136" w14:paraId="688906B2" w14:textId="77777777" w:rsidTr="001E51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6703274D" w14:textId="77777777"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
                <w:color w:val="000000" w:themeColor="text1"/>
                <w:lang w:val="ro-MD"/>
              </w:rPr>
              <w:t>▼M17</w:t>
            </w:r>
          </w:p>
          <w:p w14:paraId="390C049E" w14:textId="77777777"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(6)   Prin derogare de la prezentul articol alineatul (1), instituțiile pot să utilizeze metoda prevăzută în secțiunea 4 sau 5 din partea a treia titlul II capitolul 6 pentru a determina valoarea expunerii următoarelor:</w:t>
            </w:r>
          </w:p>
          <w:p w14:paraId="28029225" w14:textId="4C787677"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(a) contractele derivate enumerate în anexa II și instrumentele financiare derivate de credit, dacă utilizează metoda respectivă și pentru determinarea valorii expunerii contractelor în cauză în scopul </w:t>
            </w:r>
            <w:r w:rsidRPr="004D6136">
              <w:rPr>
                <w:rFonts w:ascii="Times New Roman" w:hAnsi="Times New Roman" w:cs="Times New Roman"/>
                <w:bCs/>
                <w:color w:val="000000" w:themeColor="text1"/>
                <w:lang w:val="ro-MD"/>
              </w:rPr>
              <w:lastRenderedPageBreak/>
              <w:t>îndeplinirii cerințelor de fonduri proprii prevăzute la articolul 92 alineatul (1) literele (a), (b) și (c);</w:t>
            </w:r>
          </w:p>
          <w:p w14:paraId="7E863FC9" w14:textId="36F5CD21"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(b) instrumentele financiare derivate de credit cărora le aplică tratamentul prevăzut la articolul 273 alineatul (3) sau (5), în cazul în care sunt îndeplinite condițiile de utilizare a metodei respective.</w:t>
            </w:r>
          </w:p>
          <w:p w14:paraId="25A8AB14" w14:textId="77777777" w:rsidR="00A63619" w:rsidRPr="004D6136" w:rsidRDefault="00A63619" w:rsidP="00A63619">
            <w:pPr>
              <w:spacing w:after="0" w:line="276" w:lineRule="auto"/>
              <w:jc w:val="both"/>
              <w:rPr>
                <w:rFonts w:ascii="Times New Roman" w:hAnsi="Times New Roman" w:cs="Times New Roman"/>
                <w:b/>
                <w:bCs/>
                <w:color w:val="000000" w:themeColor="text1"/>
                <w:lang w:val="ro-MD"/>
              </w:rPr>
            </w:pPr>
            <w:r w:rsidRPr="004D6136">
              <w:rPr>
                <w:rFonts w:ascii="Times New Roman" w:hAnsi="Times New Roman" w:cs="Times New Roman"/>
                <w:b/>
                <w:bCs/>
                <w:color w:val="000000" w:themeColor="text1"/>
                <w:lang w:val="ro-MD"/>
              </w:rPr>
              <w:t>▼M8</w:t>
            </w:r>
          </w:p>
          <w:p w14:paraId="759413C7" w14:textId="52569674" w:rsidR="00816196" w:rsidRPr="004D6136" w:rsidRDefault="00A63619" w:rsidP="00A63619">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hint="eastAsia"/>
                <w:bCs/>
                <w:color w:val="000000" w:themeColor="text1"/>
                <w:lang w:val="ro-MD"/>
              </w:rPr>
              <w:t>Î</w:t>
            </w:r>
            <w:r w:rsidRPr="004D6136">
              <w:rPr>
                <w:rFonts w:ascii="Times New Roman" w:hAnsi="Times New Roman" w:cs="Times New Roman"/>
                <w:bCs/>
                <w:color w:val="000000" w:themeColor="text1"/>
                <w:lang w:val="ro-MD"/>
              </w:rPr>
              <w:t xml:space="preserve">n cazul </w:t>
            </w:r>
            <w:r w:rsidRPr="004D6136">
              <w:rPr>
                <w:rFonts w:ascii="Times New Roman" w:hAnsi="Times New Roman" w:cs="Times New Roman" w:hint="eastAsia"/>
                <w:bCs/>
                <w:color w:val="000000" w:themeColor="text1"/>
                <w:lang w:val="ro-MD"/>
              </w:rPr>
              <w:t>î</w:t>
            </w:r>
            <w:r w:rsidRPr="004D6136">
              <w:rPr>
                <w:rFonts w:ascii="Times New Roman" w:hAnsi="Times New Roman" w:cs="Times New Roman"/>
                <w:bCs/>
                <w:color w:val="000000" w:themeColor="text1"/>
                <w:lang w:val="ro-MD"/>
              </w:rPr>
              <w:t>n care aplic</w:t>
            </w:r>
            <w:r w:rsidRPr="004D6136">
              <w:rPr>
                <w:rFonts w:ascii="Times New Roman" w:hAnsi="Times New Roman" w:cs="Times New Roman" w:hint="eastAsia"/>
                <w:bCs/>
                <w:color w:val="000000" w:themeColor="text1"/>
                <w:lang w:val="ro-MD"/>
              </w:rPr>
              <w:t>ă</w:t>
            </w:r>
            <w:r w:rsidRPr="004D6136">
              <w:rPr>
                <w:rFonts w:ascii="Times New Roman" w:hAnsi="Times New Roman" w:cs="Times New Roman"/>
                <w:bCs/>
                <w:color w:val="000000" w:themeColor="text1"/>
                <w:lang w:val="ro-MD"/>
              </w:rPr>
              <w:t xml:space="preserve"> una dintre metodele </w:t>
            </w:r>
            <w:proofErr w:type="spellStart"/>
            <w:r w:rsidRPr="004D6136">
              <w:rPr>
                <w:rFonts w:ascii="Times New Roman" w:hAnsi="Times New Roman" w:cs="Times New Roman"/>
                <w:bCs/>
                <w:color w:val="000000" w:themeColor="text1"/>
                <w:lang w:val="ro-MD"/>
              </w:rPr>
              <w:t>men</w:t>
            </w:r>
            <w:r w:rsidRPr="004D6136">
              <w:rPr>
                <w:rFonts w:ascii="Times New Roman" w:hAnsi="Times New Roman" w:cs="Times New Roman" w:hint="eastAsia"/>
                <w:bCs/>
                <w:color w:val="000000" w:themeColor="text1"/>
                <w:lang w:val="ro-MD"/>
              </w:rPr>
              <w:t>ţ</w:t>
            </w:r>
            <w:r w:rsidRPr="004D6136">
              <w:rPr>
                <w:rFonts w:ascii="Times New Roman" w:hAnsi="Times New Roman" w:cs="Times New Roman"/>
                <w:bCs/>
                <w:color w:val="000000" w:themeColor="text1"/>
                <w:lang w:val="ro-MD"/>
              </w:rPr>
              <w:t>ionate</w:t>
            </w:r>
            <w:proofErr w:type="spellEnd"/>
            <w:r w:rsidRPr="004D6136">
              <w:rPr>
                <w:rFonts w:ascii="Times New Roman" w:hAnsi="Times New Roman" w:cs="Times New Roman"/>
                <w:bCs/>
                <w:color w:val="000000" w:themeColor="text1"/>
                <w:lang w:val="ro-MD"/>
              </w:rPr>
              <w:t xml:space="preserve"> la primul paragraf, </w:t>
            </w:r>
            <w:proofErr w:type="spellStart"/>
            <w:r w:rsidRPr="004D6136">
              <w:rPr>
                <w:rFonts w:ascii="Times New Roman" w:hAnsi="Times New Roman" w:cs="Times New Roman"/>
                <w:bCs/>
                <w:color w:val="000000" w:themeColor="text1"/>
                <w:lang w:val="ro-MD"/>
              </w:rPr>
              <w:t>institu</w:t>
            </w:r>
            <w:r w:rsidRPr="004D6136">
              <w:rPr>
                <w:rFonts w:ascii="Times New Roman" w:hAnsi="Times New Roman" w:cs="Times New Roman" w:hint="eastAsia"/>
                <w:bCs/>
                <w:color w:val="000000" w:themeColor="text1"/>
                <w:lang w:val="ro-MD"/>
              </w:rPr>
              <w:t>ţ</w:t>
            </w:r>
            <w:r w:rsidRPr="004D6136">
              <w:rPr>
                <w:rFonts w:ascii="Times New Roman" w:hAnsi="Times New Roman" w:cs="Times New Roman"/>
                <w:bCs/>
                <w:color w:val="000000" w:themeColor="text1"/>
                <w:lang w:val="ro-MD"/>
              </w:rPr>
              <w:t>iile</w:t>
            </w:r>
            <w:proofErr w:type="spellEnd"/>
            <w:r w:rsidRPr="004D6136">
              <w:rPr>
                <w:rFonts w:ascii="Times New Roman" w:hAnsi="Times New Roman" w:cs="Times New Roman"/>
                <w:bCs/>
                <w:color w:val="000000" w:themeColor="text1"/>
                <w:lang w:val="ro-MD"/>
              </w:rPr>
              <w:t xml:space="preserve"> nu scad din indicatorul de m</w:t>
            </w:r>
            <w:r w:rsidRPr="004D6136">
              <w:rPr>
                <w:rFonts w:ascii="Times New Roman" w:hAnsi="Times New Roman" w:cs="Times New Roman" w:hint="eastAsia"/>
                <w:bCs/>
                <w:color w:val="000000" w:themeColor="text1"/>
                <w:lang w:val="ro-MD"/>
              </w:rPr>
              <w:t>ă</w:t>
            </w:r>
            <w:r w:rsidRPr="004D6136">
              <w:rPr>
                <w:rFonts w:ascii="Times New Roman" w:hAnsi="Times New Roman" w:cs="Times New Roman"/>
                <w:bCs/>
                <w:color w:val="000000" w:themeColor="text1"/>
                <w:lang w:val="ro-MD"/>
              </w:rPr>
              <w:t>surare a expunerii totale cuantumul marjei pe care l-au primit.</w:t>
            </w:r>
          </w:p>
        </w:tc>
        <w:tc>
          <w:tcPr>
            <w:tcW w:w="1557" w:type="pct"/>
            <w:shd w:val="clear" w:color="auto" w:fill="auto"/>
          </w:tcPr>
          <w:p w14:paraId="0C5D69DD" w14:textId="74DA5518"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4</w:t>
            </w:r>
            <w:r w:rsidR="0084591F" w:rsidRPr="004D6136">
              <w:rPr>
                <w:rFonts w:ascii="Times New Roman" w:hAnsi="Times New Roman" w:cs="Times New Roman"/>
                <w:bCs/>
                <w:color w:val="000000" w:themeColor="text1"/>
                <w:lang w:val="ro-MD"/>
              </w:rPr>
              <w:t>3</w:t>
            </w:r>
            <w:r w:rsidRPr="004D6136">
              <w:rPr>
                <w:rFonts w:ascii="Times New Roman" w:hAnsi="Times New Roman" w:cs="Times New Roman"/>
                <w:bCs/>
                <w:color w:val="000000" w:themeColor="text1"/>
                <w:lang w:val="ro-MD"/>
              </w:rPr>
              <w:t>.  Prin derogare de la pct.3</w:t>
            </w:r>
            <w:r w:rsidR="0084591F" w:rsidRPr="004D6136">
              <w:rPr>
                <w:rFonts w:ascii="Times New Roman" w:hAnsi="Times New Roman" w:cs="Times New Roman"/>
                <w:bCs/>
                <w:color w:val="000000" w:themeColor="text1"/>
                <w:lang w:val="ro-MD"/>
              </w:rPr>
              <w:t>2</w:t>
            </w:r>
            <w:r w:rsidRPr="004D6136">
              <w:rPr>
                <w:rFonts w:ascii="Times New Roman" w:hAnsi="Times New Roman" w:cs="Times New Roman"/>
                <w:bCs/>
                <w:color w:val="000000" w:themeColor="text1"/>
                <w:lang w:val="ro-MD"/>
              </w:rPr>
              <w:t>-3</w:t>
            </w:r>
            <w:r w:rsidR="0084591F" w:rsidRPr="004D6136">
              <w:rPr>
                <w:rFonts w:ascii="Times New Roman" w:hAnsi="Times New Roman" w:cs="Times New Roman"/>
                <w:bCs/>
                <w:color w:val="000000" w:themeColor="text1"/>
                <w:lang w:val="ro-MD"/>
              </w:rPr>
              <w:t>4</w:t>
            </w:r>
            <w:r w:rsidRPr="004D6136">
              <w:rPr>
                <w:rFonts w:ascii="Times New Roman" w:hAnsi="Times New Roman" w:cs="Times New Roman"/>
                <w:bCs/>
                <w:color w:val="000000" w:themeColor="text1"/>
                <w:lang w:val="ro-MD"/>
              </w:rPr>
              <w:t xml:space="preserve">, băncile pot să utilizeze metoda prevăzută în Regulamentul cu privire la tratamentul riscului de credit al </w:t>
            </w:r>
            <w:proofErr w:type="spellStart"/>
            <w:r w:rsidRPr="004D6136">
              <w:rPr>
                <w:rFonts w:ascii="Times New Roman" w:hAnsi="Times New Roman" w:cs="Times New Roman"/>
                <w:bCs/>
                <w:color w:val="000000" w:themeColor="text1"/>
                <w:lang w:val="ro-MD"/>
              </w:rPr>
              <w:t>contrapărţii</w:t>
            </w:r>
            <w:proofErr w:type="spellEnd"/>
            <w:r w:rsidRPr="004D6136">
              <w:rPr>
                <w:rFonts w:ascii="Times New Roman" w:hAnsi="Times New Roman" w:cs="Times New Roman"/>
                <w:bCs/>
                <w:color w:val="000000" w:themeColor="text1"/>
                <w:lang w:val="ro-MD"/>
              </w:rPr>
              <w:t xml:space="preserve"> pentru bănci pentru a determina valoarea expunerii următoarelor:</w:t>
            </w:r>
          </w:p>
          <w:p w14:paraId="76B3097E" w14:textId="0156D390"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4</w:t>
            </w:r>
            <w:r w:rsidR="0084591F" w:rsidRPr="004D6136">
              <w:rPr>
                <w:rFonts w:ascii="Times New Roman" w:hAnsi="Times New Roman" w:cs="Times New Roman"/>
                <w:bCs/>
                <w:color w:val="000000" w:themeColor="text1"/>
                <w:lang w:val="ro-MD"/>
              </w:rPr>
              <w:t>3</w:t>
            </w:r>
            <w:r w:rsidRPr="004D6136">
              <w:rPr>
                <w:rFonts w:ascii="Times New Roman" w:hAnsi="Times New Roman" w:cs="Times New Roman"/>
                <w:bCs/>
                <w:color w:val="000000" w:themeColor="text1"/>
                <w:lang w:val="ro-MD"/>
              </w:rPr>
              <w:t xml:space="preserve">.1. contractele derivate enumerate în anexa nr.1 la Regulamentul nr.114/2018 și instrumentele financiare derivate de credit, dacă utilizează metoda respectivă și pentru determinarea valorii expunerii contractelor în cauză în scopul îndeplinirii cerințelor </w:t>
            </w:r>
            <w:r w:rsidRPr="004D6136">
              <w:rPr>
                <w:rFonts w:ascii="Times New Roman" w:hAnsi="Times New Roman" w:cs="Times New Roman"/>
                <w:bCs/>
                <w:color w:val="000000" w:themeColor="text1"/>
                <w:lang w:val="ro-MD"/>
              </w:rPr>
              <w:lastRenderedPageBreak/>
              <w:t>de fonduri proprii prevăzute la subpct.1), 2) și 3) din pct.130 din Regulamentul nr.109/2018;</w:t>
            </w:r>
          </w:p>
          <w:p w14:paraId="4D8013AE" w14:textId="76FF7D4A"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4</w:t>
            </w:r>
            <w:r w:rsidR="0084591F" w:rsidRPr="004D6136">
              <w:rPr>
                <w:rFonts w:ascii="Times New Roman" w:hAnsi="Times New Roman" w:cs="Times New Roman"/>
                <w:bCs/>
                <w:color w:val="000000" w:themeColor="text1"/>
                <w:lang w:val="ro-MD"/>
              </w:rPr>
              <w:t>3</w:t>
            </w:r>
            <w:r w:rsidRPr="004D6136">
              <w:rPr>
                <w:rFonts w:ascii="Times New Roman" w:hAnsi="Times New Roman" w:cs="Times New Roman"/>
                <w:bCs/>
                <w:color w:val="000000" w:themeColor="text1"/>
                <w:lang w:val="ro-MD"/>
              </w:rPr>
              <w:t>.2. instrumentele financiare derivate de credit cărora le aplică tratamentul prevăzut la</w:t>
            </w:r>
            <w:r w:rsidR="00A77915" w:rsidRPr="004D6136">
              <w:rPr>
                <w:rFonts w:ascii="Times New Roman" w:hAnsi="Times New Roman" w:cs="Times New Roman"/>
                <w:bCs/>
                <w:color w:val="000000" w:themeColor="text1"/>
                <w:lang w:val="ro-MD"/>
              </w:rPr>
              <w:t xml:space="preserve"> </w:t>
            </w:r>
            <w:r w:rsidRPr="004D6136">
              <w:rPr>
                <w:rFonts w:ascii="Times New Roman" w:hAnsi="Times New Roman" w:cs="Times New Roman"/>
                <w:bCs/>
                <w:color w:val="000000" w:themeColor="text1"/>
                <w:lang w:val="ro-MD"/>
              </w:rPr>
              <w:t xml:space="preserve">Regulamentul cu privire la tratamentul riscului de credit al </w:t>
            </w:r>
            <w:proofErr w:type="spellStart"/>
            <w:r w:rsidRPr="004D6136">
              <w:rPr>
                <w:rFonts w:ascii="Times New Roman" w:hAnsi="Times New Roman" w:cs="Times New Roman"/>
                <w:bCs/>
                <w:color w:val="000000" w:themeColor="text1"/>
                <w:lang w:val="ro-MD"/>
              </w:rPr>
              <w:t>contrapărţii</w:t>
            </w:r>
            <w:proofErr w:type="spellEnd"/>
            <w:r w:rsidRPr="004D6136">
              <w:rPr>
                <w:rFonts w:ascii="Times New Roman" w:hAnsi="Times New Roman" w:cs="Times New Roman"/>
                <w:bCs/>
                <w:color w:val="000000" w:themeColor="text1"/>
                <w:lang w:val="ro-MD"/>
              </w:rPr>
              <w:t xml:space="preserve"> pentru bănci, în cazul în care sunt îndeplinite condițiile de utilizare a metodei respective.</w:t>
            </w:r>
          </w:p>
          <w:p w14:paraId="4CC79F1F" w14:textId="2F388243" w:rsidR="00816196" w:rsidRPr="004D6136" w:rsidRDefault="00166A52" w:rsidP="00816196">
            <w:pPr>
              <w:spacing w:after="0" w:line="276" w:lineRule="auto"/>
              <w:jc w:val="both"/>
              <w:rPr>
                <w:rFonts w:ascii="Times New Roman" w:hAnsi="Times New Roman" w:cs="Times New Roman"/>
                <w:bCs/>
                <w:color w:val="000000" w:themeColor="text1"/>
                <w:lang w:val="ro-MD"/>
              </w:rPr>
            </w:pPr>
            <w:bookmarkStart w:id="18" w:name="_Hlk201303542"/>
            <w:r w:rsidRPr="004D6136">
              <w:rPr>
                <w:rFonts w:ascii="Times New Roman" w:hAnsi="Times New Roman" w:cs="Times New Roman"/>
                <w:bCs/>
                <w:color w:val="000000" w:themeColor="text1"/>
                <w:lang w:val="ro-MD"/>
              </w:rPr>
              <w:t xml:space="preserve">44. În cazul în care aplică una dintre metodele </w:t>
            </w:r>
            <w:proofErr w:type="spellStart"/>
            <w:r w:rsidRPr="004D6136">
              <w:rPr>
                <w:rFonts w:ascii="Times New Roman" w:hAnsi="Times New Roman" w:cs="Times New Roman"/>
                <w:bCs/>
                <w:color w:val="000000" w:themeColor="text1"/>
                <w:lang w:val="ro-MD"/>
              </w:rPr>
              <w:t>menţionate</w:t>
            </w:r>
            <w:proofErr w:type="spellEnd"/>
            <w:r w:rsidRPr="004D6136">
              <w:rPr>
                <w:rFonts w:ascii="Times New Roman" w:hAnsi="Times New Roman" w:cs="Times New Roman"/>
                <w:bCs/>
                <w:color w:val="000000" w:themeColor="text1"/>
                <w:lang w:val="ro-MD"/>
              </w:rPr>
              <w:t xml:space="preserve"> la pct.43, băncile nu scad din indicatorul de măsurare a expunerii totale cuantumul marjei pe care l-au primit.</w:t>
            </w:r>
            <w:bookmarkEnd w:id="18"/>
          </w:p>
        </w:tc>
        <w:tc>
          <w:tcPr>
            <w:tcW w:w="585" w:type="pct"/>
          </w:tcPr>
          <w:p w14:paraId="21303C69" w14:textId="18041781" w:rsidR="00816196" w:rsidRPr="004D6136" w:rsidRDefault="00003578" w:rsidP="00816196">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compatibil</w:t>
            </w:r>
          </w:p>
        </w:tc>
        <w:tc>
          <w:tcPr>
            <w:tcW w:w="1261" w:type="pct"/>
          </w:tcPr>
          <w:p w14:paraId="528A3AF2" w14:textId="77777777" w:rsidR="00816196" w:rsidRPr="004D6136" w:rsidRDefault="00816196" w:rsidP="00816196">
            <w:pPr>
              <w:spacing w:line="276" w:lineRule="auto"/>
              <w:jc w:val="both"/>
              <w:rPr>
                <w:rFonts w:ascii="Times New Roman" w:hAnsi="Times New Roman" w:cs="Times New Roman"/>
                <w:bCs/>
                <w:color w:val="000000" w:themeColor="text1"/>
                <w:lang w:val="ro-MD"/>
              </w:rPr>
            </w:pPr>
          </w:p>
        </w:tc>
      </w:tr>
      <w:tr w:rsidR="00816196" w:rsidRPr="004D6136" w14:paraId="78B363BD" w14:textId="77777777" w:rsidTr="000A2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2EE0AAD0" w14:textId="005E7E88" w:rsidR="00816196" w:rsidRPr="004D6136" w:rsidRDefault="00816196" w:rsidP="00816196">
            <w:pPr>
              <w:spacing w:after="0" w:line="276" w:lineRule="auto"/>
              <w:jc w:val="both"/>
              <w:rPr>
                <w:rFonts w:ascii="Times New Roman" w:hAnsi="Times New Roman" w:cs="Times New Roman"/>
                <w:b/>
                <w:color w:val="000000" w:themeColor="text1"/>
                <w:lang w:val="ro-MD"/>
              </w:rPr>
            </w:pPr>
            <w:r w:rsidRPr="004D6136">
              <w:rPr>
                <w:rFonts w:ascii="Times New Roman" w:hAnsi="Times New Roman" w:cs="Times New Roman"/>
                <w:b/>
                <w:color w:val="000000" w:themeColor="text1"/>
                <w:lang w:val="ro-MD"/>
              </w:rPr>
              <w:t>Articolul 429d</w:t>
            </w:r>
          </w:p>
          <w:p w14:paraId="5B1FC7A9" w14:textId="7C05AA2D"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
                <w:color w:val="000000" w:themeColor="text1"/>
                <w:lang w:val="ro-MD"/>
              </w:rPr>
              <w:t>Dispoziții suplimentare privind calculul valorii expunerii pentru instrumentele financiare derivate de credit scrise</w:t>
            </w:r>
          </w:p>
        </w:tc>
        <w:tc>
          <w:tcPr>
            <w:tcW w:w="1557" w:type="pct"/>
          </w:tcPr>
          <w:p w14:paraId="02C52639" w14:textId="0B6E0505" w:rsidR="00816196" w:rsidRPr="004D6136" w:rsidRDefault="00816196" w:rsidP="00816196">
            <w:pPr>
              <w:spacing w:after="0" w:line="276" w:lineRule="auto"/>
              <w:jc w:val="both"/>
              <w:rPr>
                <w:rFonts w:ascii="Times New Roman" w:hAnsi="Times New Roman" w:cs="Times New Roman"/>
                <w:b/>
                <w:color w:val="000000" w:themeColor="text1"/>
                <w:lang w:val="ro-MD"/>
              </w:rPr>
            </w:pPr>
            <w:bookmarkStart w:id="19" w:name="_Hlk188368068"/>
            <w:r w:rsidRPr="004D6136">
              <w:rPr>
                <w:rFonts w:ascii="Times New Roman" w:hAnsi="Times New Roman" w:cs="Times New Roman"/>
                <w:b/>
                <w:color w:val="000000" w:themeColor="text1"/>
                <w:lang w:val="ro-MD"/>
              </w:rPr>
              <w:t>Sec</w:t>
            </w:r>
            <w:r w:rsidR="00522AEC" w:rsidRPr="004D6136">
              <w:rPr>
                <w:rFonts w:ascii="Times New Roman" w:hAnsi="Times New Roman" w:cs="Times New Roman"/>
                <w:b/>
                <w:color w:val="000000" w:themeColor="text1"/>
                <w:lang w:val="ro-MD"/>
              </w:rPr>
              <w:t>ț</w:t>
            </w:r>
            <w:r w:rsidRPr="004D6136">
              <w:rPr>
                <w:rFonts w:ascii="Times New Roman" w:hAnsi="Times New Roman" w:cs="Times New Roman"/>
                <w:b/>
                <w:color w:val="000000" w:themeColor="text1"/>
                <w:lang w:val="ro-MD"/>
              </w:rPr>
              <w:t>iunea 6</w:t>
            </w:r>
          </w:p>
          <w:p w14:paraId="6D3B8139" w14:textId="16C34F4F"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
                <w:color w:val="000000" w:themeColor="text1"/>
                <w:lang w:val="ro-MD"/>
              </w:rPr>
              <w:t>Dispoziții suplimentare privind calculul valorii expunerii pentru instrumentele financiare derivate de credit scrise</w:t>
            </w:r>
            <w:bookmarkEnd w:id="19"/>
          </w:p>
        </w:tc>
        <w:tc>
          <w:tcPr>
            <w:tcW w:w="585" w:type="pct"/>
          </w:tcPr>
          <w:p w14:paraId="1ED957F4" w14:textId="77777777" w:rsidR="00816196" w:rsidRPr="004D6136" w:rsidRDefault="00816196" w:rsidP="00816196">
            <w:pPr>
              <w:spacing w:line="276" w:lineRule="auto"/>
              <w:jc w:val="both"/>
              <w:rPr>
                <w:rFonts w:ascii="Times New Roman" w:hAnsi="Times New Roman" w:cs="Times New Roman"/>
                <w:bCs/>
                <w:color w:val="000000" w:themeColor="text1"/>
                <w:lang w:val="ro-MD"/>
              </w:rPr>
            </w:pPr>
          </w:p>
        </w:tc>
        <w:tc>
          <w:tcPr>
            <w:tcW w:w="1261" w:type="pct"/>
          </w:tcPr>
          <w:p w14:paraId="130FE304" w14:textId="77777777" w:rsidR="00816196" w:rsidRPr="004D6136" w:rsidRDefault="00816196" w:rsidP="00816196">
            <w:pPr>
              <w:spacing w:line="276" w:lineRule="auto"/>
              <w:jc w:val="both"/>
              <w:rPr>
                <w:rFonts w:ascii="Times New Roman" w:hAnsi="Times New Roman" w:cs="Times New Roman"/>
                <w:bCs/>
                <w:color w:val="000000" w:themeColor="text1"/>
                <w:lang w:val="ro-MD"/>
              </w:rPr>
            </w:pPr>
          </w:p>
        </w:tc>
      </w:tr>
      <w:tr w:rsidR="00816196" w:rsidRPr="004D6136" w14:paraId="70D314CC" w14:textId="77777777" w:rsidTr="003F43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52ECB8AE" w14:textId="3FD631BF"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(1)   În sensul prezentului articol, „instrument financiar derivat de credit scris” înseamnă orice instrument financiar prin care o instituție oferă efectiv protecție de credit, inclusiv prin instrumente de tipul „credit </w:t>
            </w:r>
            <w:proofErr w:type="spellStart"/>
            <w:r w:rsidRPr="004D6136">
              <w:rPr>
                <w:rFonts w:ascii="Times New Roman" w:hAnsi="Times New Roman" w:cs="Times New Roman"/>
                <w:bCs/>
                <w:color w:val="000000" w:themeColor="text1"/>
                <w:lang w:val="ro-MD"/>
              </w:rPr>
              <w:t>default</w:t>
            </w:r>
            <w:proofErr w:type="spellEnd"/>
            <w:r w:rsidRPr="004D6136">
              <w:rPr>
                <w:rFonts w:ascii="Times New Roman" w:hAnsi="Times New Roman" w:cs="Times New Roman"/>
                <w:bCs/>
                <w:color w:val="000000" w:themeColor="text1"/>
                <w:lang w:val="ro-MD"/>
              </w:rPr>
              <w:t xml:space="preserve"> </w:t>
            </w:r>
            <w:proofErr w:type="spellStart"/>
            <w:r w:rsidRPr="004D6136">
              <w:rPr>
                <w:rFonts w:ascii="Times New Roman" w:hAnsi="Times New Roman" w:cs="Times New Roman"/>
                <w:bCs/>
                <w:color w:val="000000" w:themeColor="text1"/>
                <w:lang w:val="ro-MD"/>
              </w:rPr>
              <w:t>swap</w:t>
            </w:r>
            <w:proofErr w:type="spellEnd"/>
            <w:r w:rsidRPr="004D6136">
              <w:rPr>
                <w:rFonts w:ascii="Times New Roman" w:hAnsi="Times New Roman" w:cs="Times New Roman"/>
                <w:bCs/>
                <w:color w:val="000000" w:themeColor="text1"/>
                <w:lang w:val="ro-MD"/>
              </w:rPr>
              <w:t xml:space="preserve">”, instrumente de tipul „total </w:t>
            </w:r>
            <w:proofErr w:type="spellStart"/>
            <w:r w:rsidRPr="004D6136">
              <w:rPr>
                <w:rFonts w:ascii="Times New Roman" w:hAnsi="Times New Roman" w:cs="Times New Roman"/>
                <w:bCs/>
                <w:color w:val="000000" w:themeColor="text1"/>
                <w:lang w:val="ro-MD"/>
              </w:rPr>
              <w:t>return</w:t>
            </w:r>
            <w:proofErr w:type="spellEnd"/>
            <w:r w:rsidRPr="004D6136">
              <w:rPr>
                <w:rFonts w:ascii="Times New Roman" w:hAnsi="Times New Roman" w:cs="Times New Roman"/>
                <w:bCs/>
                <w:color w:val="000000" w:themeColor="text1"/>
                <w:lang w:val="ro-MD"/>
              </w:rPr>
              <w:t xml:space="preserve"> </w:t>
            </w:r>
            <w:proofErr w:type="spellStart"/>
            <w:r w:rsidRPr="004D6136">
              <w:rPr>
                <w:rFonts w:ascii="Times New Roman" w:hAnsi="Times New Roman" w:cs="Times New Roman"/>
                <w:bCs/>
                <w:color w:val="000000" w:themeColor="text1"/>
                <w:lang w:val="ro-MD"/>
              </w:rPr>
              <w:t>swap</w:t>
            </w:r>
            <w:proofErr w:type="spellEnd"/>
            <w:r w:rsidRPr="004D6136">
              <w:rPr>
                <w:rFonts w:ascii="Times New Roman" w:hAnsi="Times New Roman" w:cs="Times New Roman"/>
                <w:bCs/>
                <w:color w:val="000000" w:themeColor="text1"/>
                <w:lang w:val="ro-MD"/>
              </w:rPr>
              <w:t>” și opțiuni, în cazul în care instituția are obligația de a oferi protecție de credit în condițiile specificate în contractul privind opțiunile.</w:t>
            </w:r>
          </w:p>
        </w:tc>
        <w:tc>
          <w:tcPr>
            <w:tcW w:w="1557" w:type="pct"/>
            <w:shd w:val="clear" w:color="auto" w:fill="auto"/>
          </w:tcPr>
          <w:p w14:paraId="5E75D4C9" w14:textId="7D0111DD" w:rsidR="00816196" w:rsidRPr="004D6136" w:rsidRDefault="00166A52"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45</w:t>
            </w:r>
            <w:r w:rsidR="00816196" w:rsidRPr="004D6136">
              <w:rPr>
                <w:rFonts w:ascii="Times New Roman" w:hAnsi="Times New Roman" w:cs="Times New Roman"/>
                <w:bCs/>
                <w:color w:val="000000" w:themeColor="text1"/>
                <w:lang w:val="ro-MD"/>
              </w:rPr>
              <w:t xml:space="preserve">.   În sensul </w:t>
            </w:r>
            <w:r w:rsidR="00522AEC" w:rsidRPr="004D6136">
              <w:rPr>
                <w:rFonts w:ascii="Times New Roman" w:hAnsi="Times New Roman" w:cs="Times New Roman"/>
                <w:bCs/>
                <w:color w:val="000000" w:themeColor="text1"/>
                <w:lang w:val="ro-MD"/>
              </w:rPr>
              <w:t>prezentei secțiuni</w:t>
            </w:r>
            <w:r w:rsidR="00816196" w:rsidRPr="004D6136">
              <w:rPr>
                <w:rFonts w:ascii="Times New Roman" w:hAnsi="Times New Roman" w:cs="Times New Roman"/>
                <w:bCs/>
                <w:color w:val="000000" w:themeColor="text1"/>
                <w:lang w:val="ro-MD"/>
              </w:rPr>
              <w:t xml:space="preserve">, „instrument financiar derivat de credit scris” înseamnă orice instrument financiar prin care o bancă oferă efectiv protecție de credit, inclusiv prin instrumente de tipul „credit </w:t>
            </w:r>
            <w:proofErr w:type="spellStart"/>
            <w:r w:rsidR="00816196" w:rsidRPr="004D6136">
              <w:rPr>
                <w:rFonts w:ascii="Times New Roman" w:hAnsi="Times New Roman" w:cs="Times New Roman"/>
                <w:bCs/>
                <w:color w:val="000000" w:themeColor="text1"/>
                <w:lang w:val="ro-MD"/>
              </w:rPr>
              <w:t>default</w:t>
            </w:r>
            <w:proofErr w:type="spellEnd"/>
            <w:r w:rsidR="00816196" w:rsidRPr="004D6136">
              <w:rPr>
                <w:rFonts w:ascii="Times New Roman" w:hAnsi="Times New Roman" w:cs="Times New Roman"/>
                <w:bCs/>
                <w:color w:val="000000" w:themeColor="text1"/>
                <w:lang w:val="ro-MD"/>
              </w:rPr>
              <w:t xml:space="preserve"> </w:t>
            </w:r>
            <w:proofErr w:type="spellStart"/>
            <w:r w:rsidR="00816196" w:rsidRPr="004D6136">
              <w:rPr>
                <w:rFonts w:ascii="Times New Roman" w:hAnsi="Times New Roman" w:cs="Times New Roman"/>
                <w:bCs/>
                <w:color w:val="000000" w:themeColor="text1"/>
                <w:lang w:val="ro-MD"/>
              </w:rPr>
              <w:t>swap</w:t>
            </w:r>
            <w:proofErr w:type="spellEnd"/>
            <w:r w:rsidR="00816196" w:rsidRPr="004D6136">
              <w:rPr>
                <w:rFonts w:ascii="Times New Roman" w:hAnsi="Times New Roman" w:cs="Times New Roman"/>
                <w:bCs/>
                <w:color w:val="000000" w:themeColor="text1"/>
                <w:lang w:val="ro-MD"/>
              </w:rPr>
              <w:t xml:space="preserve">”, instrumente de tipul „total </w:t>
            </w:r>
            <w:proofErr w:type="spellStart"/>
            <w:r w:rsidR="00816196" w:rsidRPr="004D6136">
              <w:rPr>
                <w:rFonts w:ascii="Times New Roman" w:hAnsi="Times New Roman" w:cs="Times New Roman"/>
                <w:bCs/>
                <w:color w:val="000000" w:themeColor="text1"/>
                <w:lang w:val="ro-MD"/>
              </w:rPr>
              <w:t>return</w:t>
            </w:r>
            <w:proofErr w:type="spellEnd"/>
            <w:r w:rsidR="00816196" w:rsidRPr="004D6136">
              <w:rPr>
                <w:rFonts w:ascii="Times New Roman" w:hAnsi="Times New Roman" w:cs="Times New Roman"/>
                <w:bCs/>
                <w:color w:val="000000" w:themeColor="text1"/>
                <w:lang w:val="ro-MD"/>
              </w:rPr>
              <w:t xml:space="preserve"> </w:t>
            </w:r>
            <w:proofErr w:type="spellStart"/>
            <w:r w:rsidR="00816196" w:rsidRPr="004D6136">
              <w:rPr>
                <w:rFonts w:ascii="Times New Roman" w:hAnsi="Times New Roman" w:cs="Times New Roman"/>
                <w:bCs/>
                <w:color w:val="000000" w:themeColor="text1"/>
                <w:lang w:val="ro-MD"/>
              </w:rPr>
              <w:t>swap</w:t>
            </w:r>
            <w:proofErr w:type="spellEnd"/>
            <w:r w:rsidR="00816196" w:rsidRPr="004D6136">
              <w:rPr>
                <w:rFonts w:ascii="Times New Roman" w:hAnsi="Times New Roman" w:cs="Times New Roman"/>
                <w:bCs/>
                <w:color w:val="000000" w:themeColor="text1"/>
                <w:lang w:val="ro-MD"/>
              </w:rPr>
              <w:t>” și opțiuni, în cazul în care banca are obligația de a oferi protecție de credit în condițiile specificate în contractul privind opțiunile.</w:t>
            </w:r>
          </w:p>
        </w:tc>
        <w:tc>
          <w:tcPr>
            <w:tcW w:w="585" w:type="pct"/>
          </w:tcPr>
          <w:p w14:paraId="6970FA3C" w14:textId="408AC401" w:rsidR="00816196" w:rsidRPr="004D6136" w:rsidRDefault="00003578" w:rsidP="00816196">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compatibil</w:t>
            </w:r>
          </w:p>
        </w:tc>
        <w:tc>
          <w:tcPr>
            <w:tcW w:w="1261" w:type="pct"/>
          </w:tcPr>
          <w:p w14:paraId="2E3CBA1F" w14:textId="77777777" w:rsidR="00816196" w:rsidRPr="004D6136" w:rsidRDefault="00816196" w:rsidP="00816196">
            <w:pPr>
              <w:spacing w:line="276" w:lineRule="auto"/>
              <w:jc w:val="both"/>
              <w:rPr>
                <w:rFonts w:ascii="Times New Roman" w:hAnsi="Times New Roman" w:cs="Times New Roman"/>
                <w:bCs/>
                <w:color w:val="000000" w:themeColor="text1"/>
                <w:lang w:val="ro-MD"/>
              </w:rPr>
            </w:pPr>
          </w:p>
        </w:tc>
      </w:tr>
      <w:tr w:rsidR="00816196" w:rsidRPr="004D6136" w14:paraId="08C4083E" w14:textId="77777777" w:rsidTr="003F43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58AE9246" w14:textId="77777777"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(2)   Pe lângă calculul prevăzut la articolul 429c, instituțiile includ în calculul valorii expunerii pentru instrumentele financiare derivate de credit scrise valorile noționale efective menționate în instrumentele financiare derivate de credit scrise din care se scade orice modificare negativă a valorii juste care a fost încorporată în fondurile proprii de nivel 1 în ceea ce privește respectivele instrumente financiare derivate de credit scrise.</w:t>
            </w:r>
          </w:p>
          <w:p w14:paraId="59156127" w14:textId="59EEEA65"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Instituțiile calculează valoarea noțională efectivă a instrumentelor financiare derivate de credit scrise prin ajustarea valorii noționale a acelor instrumente financiare derivate pentru a reflecta expunerea reală a contractelor pentru care se utilizează efectul de levier sau care sunt consolidate în alt mod prin structura tranzacției.</w:t>
            </w:r>
          </w:p>
        </w:tc>
        <w:tc>
          <w:tcPr>
            <w:tcW w:w="1557" w:type="pct"/>
            <w:shd w:val="clear" w:color="auto" w:fill="auto"/>
          </w:tcPr>
          <w:p w14:paraId="16E37D67" w14:textId="6EB84E9C" w:rsidR="00816196" w:rsidRPr="004D6136" w:rsidRDefault="00166A52"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46</w:t>
            </w:r>
            <w:r w:rsidR="00816196" w:rsidRPr="004D6136">
              <w:rPr>
                <w:rFonts w:ascii="Times New Roman" w:hAnsi="Times New Roman" w:cs="Times New Roman"/>
                <w:bCs/>
                <w:color w:val="000000" w:themeColor="text1"/>
                <w:lang w:val="ro-MD"/>
              </w:rPr>
              <w:t>.   Pe lângă calculul prevăzut la secțiunea 5, băncile includ în calculul valorii expunerii pentru instrumentele financiare derivate de credit scrise valorile noționale efective menționate în instrumentele financiare derivate de credit scrise din care se scade orice modificare negativă a valorii juste care a fost încorporată în fondurile proprii de nivel 1 în ceea ce privește respectivele instrumente financiare derivate de credit scrise.</w:t>
            </w:r>
          </w:p>
          <w:p w14:paraId="243CE9EA" w14:textId="0E0AB70E" w:rsidR="00816196" w:rsidRPr="004D6136" w:rsidRDefault="00166A52"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47</w:t>
            </w:r>
            <w:r w:rsidR="00816196" w:rsidRPr="004D6136">
              <w:rPr>
                <w:rFonts w:ascii="Times New Roman" w:hAnsi="Times New Roman" w:cs="Times New Roman"/>
                <w:bCs/>
                <w:color w:val="000000" w:themeColor="text1"/>
                <w:lang w:val="ro-MD"/>
              </w:rPr>
              <w:t>. Băncile calculează valoarea noțională efectivă a instrumentelor financiare derivate de credit scrise prin ajustarea valorii noționale a acelor instrumente financiare derivate pentru a reflecta expunerea reală a contractelor pentru care se utilizează efectul de levier sau care sunt consolidate în alt mod prin structura tranzacției.</w:t>
            </w:r>
          </w:p>
        </w:tc>
        <w:tc>
          <w:tcPr>
            <w:tcW w:w="585" w:type="pct"/>
          </w:tcPr>
          <w:p w14:paraId="4FE67A31" w14:textId="52870A76" w:rsidR="00816196" w:rsidRPr="004D6136" w:rsidRDefault="00003578" w:rsidP="00816196">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compatibil</w:t>
            </w:r>
          </w:p>
        </w:tc>
        <w:tc>
          <w:tcPr>
            <w:tcW w:w="1261" w:type="pct"/>
          </w:tcPr>
          <w:p w14:paraId="57EA8EE1" w14:textId="77777777" w:rsidR="00816196" w:rsidRPr="004D6136" w:rsidRDefault="00816196" w:rsidP="00816196">
            <w:pPr>
              <w:spacing w:line="276" w:lineRule="auto"/>
              <w:jc w:val="both"/>
              <w:rPr>
                <w:rFonts w:ascii="Times New Roman" w:hAnsi="Times New Roman" w:cs="Times New Roman"/>
                <w:bCs/>
                <w:color w:val="000000" w:themeColor="text1"/>
                <w:lang w:val="ro-MD"/>
              </w:rPr>
            </w:pPr>
          </w:p>
        </w:tc>
      </w:tr>
      <w:tr w:rsidR="00816196" w:rsidRPr="004D6136" w14:paraId="10AE33FB" w14:textId="77777777" w:rsidTr="003F43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578C71FA" w14:textId="77777777"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(3)   Instituțiile pot scădea, integral sau parțial, din valoarea expunerii calculate în conformitate cu alineatul (2) valoarea noțională efectivă a instrumentelor financiare derivate de credit cumpărate, dacă sunt îndeplinite cumulativ următoarele condiții:</w:t>
            </w:r>
          </w:p>
          <w:p w14:paraId="7F03ACF3" w14:textId="23215C64"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(a) scadența reziduală a instrumentului financiar derivat de credit cumpărat este egală cu scadența reziduală a instrumentului financiar derivat de credit scris sau mai mare decât aceasta;</w:t>
            </w:r>
          </w:p>
          <w:p w14:paraId="476AF444" w14:textId="4591C47E"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(b) instrumentul financiar derivat de credit cumpărat face obiectul acelorași clauze esențiale sau al unor clauze esențiale mai prudente decât cele ale instrumentului financiar derivat de credit scris corespunzător;</w:t>
            </w:r>
          </w:p>
          <w:p w14:paraId="61C59B1A" w14:textId="6B896DD1"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(c) instrumentul financiar derivat de credit cumpărat nu a fost achiziționat de la o </w:t>
            </w:r>
            <w:proofErr w:type="spellStart"/>
            <w:r w:rsidRPr="004D6136">
              <w:rPr>
                <w:rFonts w:ascii="Times New Roman" w:hAnsi="Times New Roman" w:cs="Times New Roman"/>
                <w:bCs/>
                <w:color w:val="000000" w:themeColor="text1"/>
                <w:lang w:val="ro-MD"/>
              </w:rPr>
              <w:t>contraparte</w:t>
            </w:r>
            <w:proofErr w:type="spellEnd"/>
            <w:r w:rsidRPr="004D6136">
              <w:rPr>
                <w:rFonts w:ascii="Times New Roman" w:hAnsi="Times New Roman" w:cs="Times New Roman"/>
                <w:bCs/>
                <w:color w:val="000000" w:themeColor="text1"/>
                <w:lang w:val="ro-MD"/>
              </w:rPr>
              <w:t xml:space="preserve"> care ar expune instituția unui risc specific de corelare defavorabilă, astfel cum este definit la articolul 291 alineatul (1) litera (b);</w:t>
            </w:r>
          </w:p>
          <w:p w14:paraId="7751B2A6" w14:textId="7FA9E1F6"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(d) în cazul în care din valoarea noțională efectivă a instrumentului financiar derivat de credit scris se scade orice modificare negativă a valorii juste încorporată în fondurile proprii de nivel 1 ale instituției, din valoarea noțională efectivă a instrumentului financiar derivat de credit cumpărat se scade orice modificare pozitivă a valorii juste care a fost încorporată în fondurile proprii de nivel 1;</w:t>
            </w:r>
          </w:p>
          <w:p w14:paraId="080407DC" w14:textId="738DF046"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(e) instrumentul financiar derivat de credit cumpărat nu este inclus într-o tranzacție care a fost compensată de instituție în numele unui client sau care a fost compensată de instituție în rolul său de client de nivel superior într-o structură a clientelei pe mai multe niveluri și pentru care valoarea noțională efectivă menționată în instrumentul financiar derivat de credit scris corespunzător se exclude din indicatorul de </w:t>
            </w:r>
            <w:r w:rsidRPr="004D6136">
              <w:rPr>
                <w:rFonts w:ascii="Times New Roman" w:hAnsi="Times New Roman" w:cs="Times New Roman"/>
                <w:bCs/>
                <w:color w:val="000000" w:themeColor="text1"/>
                <w:lang w:val="ro-MD"/>
              </w:rPr>
              <w:lastRenderedPageBreak/>
              <w:t>măsurare a expunerii totale în conformitate cu articolul 429a alineatul (1) primul paragraf litera (g) sau (h), după caz.</w:t>
            </w:r>
          </w:p>
          <w:p w14:paraId="76E81BA9" w14:textId="408EEB89"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În scopul calculării expunerii viitoare potențiale în conformitate cu articolul 429c alineatul (1), instituțiile pot exclude din setul de compensare partea din instrumentul financiar derivat de credit scris care nu este compensată în conformitate cu primul paragraf de la prezentul alineat și pentru care valoarea noțională efectivă este inclusă în indicatorul de măsurare a expunerii totale.</w:t>
            </w:r>
          </w:p>
        </w:tc>
        <w:tc>
          <w:tcPr>
            <w:tcW w:w="1557" w:type="pct"/>
            <w:shd w:val="clear" w:color="auto" w:fill="auto"/>
          </w:tcPr>
          <w:p w14:paraId="50A17EA1" w14:textId="7AC08FE7" w:rsidR="00816196" w:rsidRPr="004D6136" w:rsidRDefault="00166A52"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48</w:t>
            </w:r>
            <w:r w:rsidR="00816196" w:rsidRPr="004D6136">
              <w:rPr>
                <w:rFonts w:ascii="Times New Roman" w:hAnsi="Times New Roman" w:cs="Times New Roman"/>
                <w:bCs/>
                <w:color w:val="000000" w:themeColor="text1"/>
                <w:lang w:val="ro-MD"/>
              </w:rPr>
              <w:t>.   Băncile pot scădea, integral sau parțial, din valoarea expunerii calculate în conformitate cu pct.</w:t>
            </w:r>
            <w:r w:rsidRPr="004D6136">
              <w:rPr>
                <w:rFonts w:ascii="Times New Roman" w:hAnsi="Times New Roman" w:cs="Times New Roman"/>
                <w:bCs/>
                <w:color w:val="000000" w:themeColor="text1"/>
                <w:lang w:val="ro-MD"/>
              </w:rPr>
              <w:t>45</w:t>
            </w:r>
            <w:r w:rsidR="00816196" w:rsidRPr="004D6136">
              <w:rPr>
                <w:rFonts w:ascii="Times New Roman" w:hAnsi="Times New Roman" w:cs="Times New Roman"/>
                <w:bCs/>
                <w:color w:val="000000" w:themeColor="text1"/>
                <w:lang w:val="ro-MD"/>
              </w:rPr>
              <w:t xml:space="preserve"> și </w:t>
            </w:r>
            <w:r w:rsidRPr="004D6136">
              <w:rPr>
                <w:rFonts w:ascii="Times New Roman" w:hAnsi="Times New Roman" w:cs="Times New Roman"/>
                <w:bCs/>
                <w:color w:val="000000" w:themeColor="text1"/>
                <w:lang w:val="ro-MD"/>
              </w:rPr>
              <w:t xml:space="preserve">46 </w:t>
            </w:r>
            <w:r w:rsidR="00816196" w:rsidRPr="004D6136">
              <w:rPr>
                <w:rFonts w:ascii="Times New Roman" w:hAnsi="Times New Roman" w:cs="Times New Roman"/>
                <w:bCs/>
                <w:color w:val="000000" w:themeColor="text1"/>
                <w:lang w:val="ro-MD"/>
              </w:rPr>
              <w:t>valoarea noțională efectivă a instrumentelor financiare derivate de credit cumpărate, dacă sunt îndeplinite cumulativ următoarele condiții:</w:t>
            </w:r>
          </w:p>
          <w:p w14:paraId="5E83CBF1" w14:textId="46E8D75A" w:rsidR="00816196" w:rsidRPr="004D6136" w:rsidRDefault="00166A52"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48</w:t>
            </w:r>
            <w:r w:rsidR="00816196" w:rsidRPr="004D6136">
              <w:rPr>
                <w:rFonts w:ascii="Times New Roman" w:hAnsi="Times New Roman" w:cs="Times New Roman"/>
                <w:bCs/>
                <w:color w:val="000000" w:themeColor="text1"/>
                <w:lang w:val="ro-MD"/>
              </w:rPr>
              <w:t>.1. scadența reziduală a instrumentului financiar derivat de credit cumpărat este egală cu scadența reziduală a instrumentului financiar derivat de credit scris sau mai mare decât aceasta;</w:t>
            </w:r>
          </w:p>
          <w:p w14:paraId="3792AFE1" w14:textId="5B106EC6" w:rsidR="00816196" w:rsidRPr="004D6136" w:rsidRDefault="00166A52"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48</w:t>
            </w:r>
            <w:r w:rsidR="00816196" w:rsidRPr="004D6136">
              <w:rPr>
                <w:rFonts w:ascii="Times New Roman" w:hAnsi="Times New Roman" w:cs="Times New Roman"/>
                <w:bCs/>
                <w:color w:val="000000" w:themeColor="text1"/>
                <w:lang w:val="ro-MD"/>
              </w:rPr>
              <w:t>.2. instrumentul financiar derivat de credit cumpărat face obiectul acelorași clauze esențiale sau al unor clauze esențiale mai prudente decât cele ale instrumentului financiar derivat de credit scris corespunzător;</w:t>
            </w:r>
          </w:p>
          <w:p w14:paraId="11722CAD" w14:textId="7E5FB040" w:rsidR="00816196" w:rsidRPr="004D6136" w:rsidRDefault="00166A52"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48</w:t>
            </w:r>
            <w:r w:rsidR="00816196" w:rsidRPr="004D6136">
              <w:rPr>
                <w:rFonts w:ascii="Times New Roman" w:hAnsi="Times New Roman" w:cs="Times New Roman"/>
                <w:bCs/>
                <w:color w:val="000000" w:themeColor="text1"/>
                <w:lang w:val="ro-MD"/>
              </w:rPr>
              <w:t>.</w:t>
            </w:r>
            <w:r w:rsidR="00003578" w:rsidRPr="004D6136">
              <w:rPr>
                <w:rFonts w:ascii="Times New Roman" w:hAnsi="Times New Roman" w:cs="Times New Roman"/>
                <w:bCs/>
                <w:color w:val="000000" w:themeColor="text1"/>
                <w:lang w:val="ro-MD"/>
              </w:rPr>
              <w:t>3</w:t>
            </w:r>
            <w:r w:rsidR="00816196" w:rsidRPr="004D6136">
              <w:rPr>
                <w:rFonts w:ascii="Times New Roman" w:hAnsi="Times New Roman" w:cs="Times New Roman"/>
                <w:bCs/>
                <w:color w:val="000000" w:themeColor="text1"/>
                <w:lang w:val="ro-MD"/>
              </w:rPr>
              <w:t>. în cazul în care din valoarea noțională efectivă a instrumentului financiar derivat de credit scris se scade orice modificare negativă a valorii juste încorporată în fondurile proprii de nivel 1 ale băncii, din valoarea noțională efectivă a instrumentului financiar derivat de credit cumpărat se scade orice modificare pozitivă a valorii juste care a fost încorporată în fondurile proprii de nivel 1;</w:t>
            </w:r>
          </w:p>
          <w:p w14:paraId="642890EF" w14:textId="793BD0FD" w:rsidR="00816196" w:rsidRPr="004D6136" w:rsidRDefault="00166A52"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48</w:t>
            </w:r>
            <w:r w:rsidR="00816196" w:rsidRPr="004D6136">
              <w:rPr>
                <w:rFonts w:ascii="Times New Roman" w:hAnsi="Times New Roman" w:cs="Times New Roman"/>
                <w:bCs/>
                <w:color w:val="000000" w:themeColor="text1"/>
                <w:lang w:val="ro-MD"/>
              </w:rPr>
              <w:t>.</w:t>
            </w:r>
            <w:r w:rsidR="00003578" w:rsidRPr="004D6136">
              <w:rPr>
                <w:rFonts w:ascii="Times New Roman" w:hAnsi="Times New Roman" w:cs="Times New Roman"/>
                <w:bCs/>
                <w:color w:val="000000" w:themeColor="text1"/>
                <w:lang w:val="ro-MD"/>
              </w:rPr>
              <w:t>4</w:t>
            </w:r>
            <w:r w:rsidR="00816196" w:rsidRPr="004D6136">
              <w:rPr>
                <w:rFonts w:ascii="Times New Roman" w:hAnsi="Times New Roman" w:cs="Times New Roman"/>
                <w:bCs/>
                <w:color w:val="000000" w:themeColor="text1"/>
                <w:lang w:val="ro-MD"/>
              </w:rPr>
              <w:t>. instrumentul financiar derivat de credit cumpărat nu este inclus într-o tranzacție care a fost compensată de bancă în numele unui client sau care a fost compensată de bancă în rolul său de client de nivel superior într-o structură a clientelei pe mai multe niveluri și pentru care valoarea noțională efectivă menționată în instrumentul financiar derivat de credit scris corespunzător se exclude din indicatorul de măsurare a expunerii totale în conformitate cu</w:t>
            </w:r>
            <w:r w:rsidR="00632C0E" w:rsidRPr="004D6136">
              <w:rPr>
                <w:rFonts w:ascii="Times New Roman" w:hAnsi="Times New Roman" w:cs="Times New Roman"/>
                <w:bCs/>
                <w:color w:val="000000" w:themeColor="text1"/>
                <w:lang w:val="ro-MD"/>
              </w:rPr>
              <w:t xml:space="preserve"> </w:t>
            </w:r>
            <w:r w:rsidR="00816196" w:rsidRPr="004D6136">
              <w:rPr>
                <w:rFonts w:ascii="Times New Roman" w:hAnsi="Times New Roman" w:cs="Times New Roman"/>
                <w:bCs/>
                <w:color w:val="000000" w:themeColor="text1"/>
                <w:lang w:val="ro-MD"/>
              </w:rPr>
              <w:t>subpct.1</w:t>
            </w:r>
            <w:r w:rsidR="00B84B91" w:rsidRPr="004D6136">
              <w:rPr>
                <w:rFonts w:ascii="Times New Roman" w:hAnsi="Times New Roman" w:cs="Times New Roman"/>
                <w:bCs/>
                <w:color w:val="000000" w:themeColor="text1"/>
                <w:lang w:val="ro-MD"/>
              </w:rPr>
              <w:t>9</w:t>
            </w:r>
            <w:r w:rsidR="00003578" w:rsidRPr="004D6136">
              <w:rPr>
                <w:rFonts w:ascii="Times New Roman" w:hAnsi="Times New Roman" w:cs="Times New Roman"/>
                <w:bCs/>
                <w:color w:val="000000" w:themeColor="text1"/>
                <w:lang w:val="ro-MD"/>
              </w:rPr>
              <w:t>.</w:t>
            </w:r>
            <w:r w:rsidR="009061C5" w:rsidRPr="004D6136">
              <w:rPr>
                <w:rFonts w:ascii="Times New Roman" w:hAnsi="Times New Roman" w:cs="Times New Roman"/>
                <w:bCs/>
                <w:color w:val="000000" w:themeColor="text1"/>
                <w:lang w:val="ro-MD"/>
              </w:rPr>
              <w:t>4</w:t>
            </w:r>
            <w:r w:rsidR="00816196" w:rsidRPr="004D6136">
              <w:rPr>
                <w:rFonts w:ascii="Times New Roman" w:hAnsi="Times New Roman" w:cs="Times New Roman"/>
                <w:bCs/>
                <w:color w:val="000000" w:themeColor="text1"/>
                <w:lang w:val="ro-MD"/>
              </w:rPr>
              <w:t xml:space="preserve"> sau 1</w:t>
            </w:r>
            <w:r w:rsidR="00B84B91" w:rsidRPr="004D6136">
              <w:rPr>
                <w:rFonts w:ascii="Times New Roman" w:hAnsi="Times New Roman" w:cs="Times New Roman"/>
                <w:bCs/>
                <w:color w:val="000000" w:themeColor="text1"/>
                <w:lang w:val="ro-MD"/>
              </w:rPr>
              <w:t>9</w:t>
            </w:r>
            <w:r w:rsidR="00816196" w:rsidRPr="004D6136">
              <w:rPr>
                <w:rFonts w:ascii="Times New Roman" w:hAnsi="Times New Roman" w:cs="Times New Roman"/>
                <w:bCs/>
                <w:color w:val="000000" w:themeColor="text1"/>
                <w:lang w:val="ro-MD"/>
              </w:rPr>
              <w:t>.</w:t>
            </w:r>
            <w:r w:rsidR="009061C5" w:rsidRPr="004D6136">
              <w:rPr>
                <w:rFonts w:ascii="Times New Roman" w:hAnsi="Times New Roman" w:cs="Times New Roman"/>
                <w:bCs/>
                <w:color w:val="000000" w:themeColor="text1"/>
                <w:lang w:val="ro-MD"/>
              </w:rPr>
              <w:t>5</w:t>
            </w:r>
            <w:r w:rsidR="00816196" w:rsidRPr="004D6136">
              <w:rPr>
                <w:rFonts w:ascii="Times New Roman" w:hAnsi="Times New Roman" w:cs="Times New Roman"/>
                <w:bCs/>
                <w:color w:val="000000" w:themeColor="text1"/>
                <w:lang w:val="ro-MD"/>
              </w:rPr>
              <w:t>, după caz.</w:t>
            </w:r>
          </w:p>
          <w:p w14:paraId="417A23A5" w14:textId="30295043" w:rsidR="00816196" w:rsidRPr="004D6136" w:rsidRDefault="00166A52"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49</w:t>
            </w:r>
            <w:r w:rsidR="00816196" w:rsidRPr="004D6136">
              <w:rPr>
                <w:rFonts w:ascii="Times New Roman" w:hAnsi="Times New Roman" w:cs="Times New Roman"/>
                <w:bCs/>
                <w:color w:val="000000" w:themeColor="text1"/>
                <w:lang w:val="ro-MD"/>
              </w:rPr>
              <w:t>. În scopul calculării expunerii viitoare potențiale în conformitate cu pct.</w:t>
            </w:r>
            <w:r w:rsidR="00EB04C3" w:rsidRPr="004D6136">
              <w:rPr>
                <w:rFonts w:ascii="Times New Roman" w:hAnsi="Times New Roman" w:cs="Times New Roman"/>
                <w:bCs/>
                <w:color w:val="000000" w:themeColor="text1"/>
                <w:lang w:val="ro-MD"/>
              </w:rPr>
              <w:t>3</w:t>
            </w:r>
            <w:r w:rsidR="006D69C3" w:rsidRPr="004D6136">
              <w:rPr>
                <w:rFonts w:ascii="Times New Roman" w:hAnsi="Times New Roman" w:cs="Times New Roman"/>
                <w:bCs/>
                <w:color w:val="000000" w:themeColor="text1"/>
                <w:lang w:val="ro-MD"/>
              </w:rPr>
              <w:t>2</w:t>
            </w:r>
            <w:r w:rsidR="00EB04C3" w:rsidRPr="004D6136">
              <w:rPr>
                <w:rFonts w:ascii="Times New Roman" w:hAnsi="Times New Roman" w:cs="Times New Roman"/>
                <w:bCs/>
                <w:color w:val="000000" w:themeColor="text1"/>
                <w:lang w:val="ro-MD"/>
              </w:rPr>
              <w:t>-3</w:t>
            </w:r>
            <w:r w:rsidR="006D69C3" w:rsidRPr="004D6136">
              <w:rPr>
                <w:rFonts w:ascii="Times New Roman" w:hAnsi="Times New Roman" w:cs="Times New Roman"/>
                <w:bCs/>
                <w:color w:val="000000" w:themeColor="text1"/>
                <w:lang w:val="ro-MD"/>
              </w:rPr>
              <w:t>4</w:t>
            </w:r>
            <w:r w:rsidR="00816196" w:rsidRPr="004D6136">
              <w:rPr>
                <w:rFonts w:ascii="Times New Roman" w:hAnsi="Times New Roman" w:cs="Times New Roman"/>
                <w:bCs/>
                <w:color w:val="000000" w:themeColor="text1"/>
                <w:lang w:val="ro-MD"/>
              </w:rPr>
              <w:t xml:space="preserve">, băncile pot exclude din setul de compensare partea din instrumentul financiar </w:t>
            </w:r>
            <w:r w:rsidR="00816196" w:rsidRPr="004D6136">
              <w:rPr>
                <w:rFonts w:ascii="Times New Roman" w:hAnsi="Times New Roman" w:cs="Times New Roman"/>
                <w:bCs/>
                <w:color w:val="000000" w:themeColor="text1"/>
                <w:lang w:val="ro-MD"/>
              </w:rPr>
              <w:lastRenderedPageBreak/>
              <w:t>derivat de credit scris care nu este compensată în conformitate cu pct.</w:t>
            </w:r>
            <w:r w:rsidR="00632C0E" w:rsidRPr="004D6136">
              <w:rPr>
                <w:rFonts w:ascii="Times New Roman" w:hAnsi="Times New Roman" w:cs="Times New Roman"/>
                <w:bCs/>
                <w:color w:val="000000" w:themeColor="text1"/>
                <w:lang w:val="ro-MD"/>
              </w:rPr>
              <w:t xml:space="preserve">48 </w:t>
            </w:r>
            <w:r w:rsidR="00816196" w:rsidRPr="004D6136">
              <w:rPr>
                <w:rFonts w:ascii="Times New Roman" w:hAnsi="Times New Roman" w:cs="Times New Roman"/>
                <w:bCs/>
                <w:color w:val="000000" w:themeColor="text1"/>
                <w:lang w:val="ro-MD"/>
              </w:rPr>
              <w:t>și pentru care valoarea noțională efectivă este inclusă în indicatorul de măsurare a expunerii totale.</w:t>
            </w:r>
          </w:p>
        </w:tc>
        <w:tc>
          <w:tcPr>
            <w:tcW w:w="585" w:type="pct"/>
          </w:tcPr>
          <w:p w14:paraId="05B65786" w14:textId="0F18A1D9" w:rsidR="00816196" w:rsidRPr="004D6136" w:rsidRDefault="00003578" w:rsidP="00816196">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Parțial compatibil</w:t>
            </w:r>
          </w:p>
        </w:tc>
        <w:tc>
          <w:tcPr>
            <w:tcW w:w="1261" w:type="pct"/>
          </w:tcPr>
          <w:p w14:paraId="3F485658" w14:textId="65044ECB" w:rsidR="00816196" w:rsidRPr="004D6136" w:rsidRDefault="00003578" w:rsidP="00816196">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Prevederile de la lit.(c) nu au fost transpuse deoarece</w:t>
            </w:r>
            <w:r w:rsidR="00EA40F2" w:rsidRPr="004D6136">
              <w:rPr>
                <w:lang w:val="it-IT"/>
              </w:rPr>
              <w:t xml:space="preserve"> </w:t>
            </w:r>
            <w:r w:rsidR="00EA40F2" w:rsidRPr="004D6136">
              <w:rPr>
                <w:rFonts w:ascii="Times New Roman" w:hAnsi="Times New Roman" w:cs="Times New Roman"/>
                <w:bCs/>
                <w:color w:val="000000" w:themeColor="text1"/>
                <w:lang w:val="ro-MD"/>
              </w:rPr>
              <w:t xml:space="preserve">se referă la aplicarea metodei modelului intern, care va fi transpus la o etapă ulterioară în reglementările ce țin de abordarea IRB.   </w:t>
            </w:r>
          </w:p>
        </w:tc>
      </w:tr>
      <w:tr w:rsidR="00816196" w:rsidRPr="004D6136" w14:paraId="4C60D167" w14:textId="77777777" w:rsidTr="003F43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6579AF9A" w14:textId="6F1A08FA"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(4)   În sensul alineatului (3) litera (b), „clauze esențiale” înseamnă orice caracteristică a instrumentului financiar derivat de credit care este relevantă pentru evaluarea acestuia, inclusiv nivelul de subordonare, opționalitatea, evenimentele de credit, entitatea sau grupurile de entități de referință suport, precum și obligația sau portofoliul de obligații de referință suport, cu excepția valorii noționale și a scadenței reziduale a instrumentului financiar derivat de credit. Două nume de referință sunt aceleași numai în cazul în care se referă la aceeași entitate juridică.</w:t>
            </w:r>
          </w:p>
        </w:tc>
        <w:tc>
          <w:tcPr>
            <w:tcW w:w="1557" w:type="pct"/>
            <w:shd w:val="clear" w:color="auto" w:fill="auto"/>
          </w:tcPr>
          <w:p w14:paraId="0852A02F" w14:textId="788B6F4C" w:rsidR="00816196" w:rsidRPr="004D6136" w:rsidRDefault="00166A52"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50</w:t>
            </w:r>
            <w:r w:rsidR="00816196" w:rsidRPr="004D6136">
              <w:rPr>
                <w:rFonts w:ascii="Times New Roman" w:hAnsi="Times New Roman" w:cs="Times New Roman"/>
                <w:bCs/>
                <w:color w:val="000000" w:themeColor="text1"/>
                <w:lang w:val="ro-MD"/>
              </w:rPr>
              <w:t>.   În sensul</w:t>
            </w:r>
            <w:r w:rsidRPr="004D6136">
              <w:rPr>
                <w:rFonts w:ascii="Times New Roman" w:hAnsi="Times New Roman" w:cs="Times New Roman"/>
                <w:bCs/>
                <w:color w:val="000000" w:themeColor="text1"/>
                <w:lang w:val="ro-MD"/>
              </w:rPr>
              <w:t xml:space="preserve"> sub</w:t>
            </w:r>
            <w:r w:rsidR="00816196" w:rsidRPr="004D6136">
              <w:rPr>
                <w:rFonts w:ascii="Times New Roman" w:hAnsi="Times New Roman" w:cs="Times New Roman"/>
                <w:bCs/>
                <w:color w:val="000000" w:themeColor="text1"/>
                <w:lang w:val="ro-MD"/>
              </w:rPr>
              <w:t>pct.</w:t>
            </w:r>
            <w:r w:rsidRPr="004D6136">
              <w:rPr>
                <w:rFonts w:ascii="Times New Roman" w:hAnsi="Times New Roman" w:cs="Times New Roman"/>
                <w:bCs/>
                <w:color w:val="000000" w:themeColor="text1"/>
                <w:lang w:val="ro-MD"/>
              </w:rPr>
              <w:t>48.2</w:t>
            </w:r>
            <w:r w:rsidR="00816196" w:rsidRPr="004D6136">
              <w:rPr>
                <w:rFonts w:ascii="Times New Roman" w:hAnsi="Times New Roman" w:cs="Times New Roman"/>
                <w:bCs/>
                <w:color w:val="000000" w:themeColor="text1"/>
                <w:lang w:val="ro-MD"/>
              </w:rPr>
              <w:t>, „clauze esențiale” înseamnă orice caracteristică a instrumentului financiar derivat de credit care este relevantă pentru evaluarea acestuia, inclusiv nivelul de subordonare, opționalitatea, evenimentele de credit, entitatea sau grupurile de entități de referință suport, precum și obligația sau portofoliul de obligații de referință suport, cu excepția valorii noționale și a scadenței reziduale a instrumentului financiar derivat de credit. Două nume de referință sunt aceleași numai în cazul în care se referă la aceeași entitate juridică.</w:t>
            </w:r>
          </w:p>
        </w:tc>
        <w:tc>
          <w:tcPr>
            <w:tcW w:w="585" w:type="pct"/>
          </w:tcPr>
          <w:p w14:paraId="64D7DA80" w14:textId="2E2D3ACE" w:rsidR="00816196" w:rsidRPr="004D6136" w:rsidRDefault="00AA3BD3" w:rsidP="00816196">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compatibil</w:t>
            </w:r>
          </w:p>
        </w:tc>
        <w:tc>
          <w:tcPr>
            <w:tcW w:w="1261" w:type="pct"/>
          </w:tcPr>
          <w:p w14:paraId="47E65FE1" w14:textId="77777777" w:rsidR="00816196" w:rsidRPr="004D6136" w:rsidRDefault="00816196" w:rsidP="00816196">
            <w:pPr>
              <w:spacing w:line="276" w:lineRule="auto"/>
              <w:jc w:val="both"/>
              <w:rPr>
                <w:rFonts w:ascii="Times New Roman" w:hAnsi="Times New Roman" w:cs="Times New Roman"/>
                <w:bCs/>
                <w:color w:val="000000" w:themeColor="text1"/>
                <w:lang w:val="ro-MD"/>
              </w:rPr>
            </w:pPr>
          </w:p>
        </w:tc>
      </w:tr>
      <w:tr w:rsidR="00816196" w:rsidRPr="004D6136" w14:paraId="588DCBB6" w14:textId="77777777" w:rsidTr="003F43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5DF69D44" w14:textId="3D8862E3"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(5)   Prin derogare de la alineatul (3) litera (b), instituțiile pot utiliza instrumentele financiare derivate de credit cumpărate pe un grup de nume de referință </w:t>
            </w:r>
            <w:r w:rsidRPr="004D6136">
              <w:rPr>
                <w:rFonts w:ascii="Times New Roman" w:hAnsi="Times New Roman" w:cs="Times New Roman"/>
                <w:bCs/>
                <w:color w:val="000000" w:themeColor="text1"/>
                <w:lang w:val="ro-MD"/>
              </w:rPr>
              <w:lastRenderedPageBreak/>
              <w:t>pentru a compensa instrumentele financiare derivate de credit scrise pe numele de referință individuale din grupul respectiv, atunci când grupul de entități de referință și nivelul de subordonare din ambele tranzacții sunt identice.</w:t>
            </w:r>
          </w:p>
        </w:tc>
        <w:tc>
          <w:tcPr>
            <w:tcW w:w="1557" w:type="pct"/>
            <w:shd w:val="clear" w:color="auto" w:fill="auto"/>
          </w:tcPr>
          <w:p w14:paraId="58FC28F8" w14:textId="4346CAE7" w:rsidR="00816196" w:rsidRPr="004D6136" w:rsidRDefault="00166A52"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51</w:t>
            </w:r>
            <w:r w:rsidR="00816196" w:rsidRPr="004D6136">
              <w:rPr>
                <w:rFonts w:ascii="Times New Roman" w:hAnsi="Times New Roman" w:cs="Times New Roman"/>
                <w:bCs/>
                <w:color w:val="000000" w:themeColor="text1"/>
                <w:lang w:val="ro-MD"/>
              </w:rPr>
              <w:t xml:space="preserve">.   Prin derogare de la </w:t>
            </w:r>
            <w:r w:rsidRPr="004D6136">
              <w:rPr>
                <w:rFonts w:ascii="Times New Roman" w:hAnsi="Times New Roman" w:cs="Times New Roman"/>
                <w:bCs/>
                <w:color w:val="000000" w:themeColor="text1"/>
                <w:lang w:val="ro-MD"/>
              </w:rPr>
              <w:t>sub</w:t>
            </w:r>
            <w:r w:rsidR="00816196" w:rsidRPr="004D6136">
              <w:rPr>
                <w:rFonts w:ascii="Times New Roman" w:hAnsi="Times New Roman" w:cs="Times New Roman"/>
                <w:bCs/>
                <w:color w:val="000000" w:themeColor="text1"/>
                <w:lang w:val="ro-MD"/>
              </w:rPr>
              <w:t>pct.</w:t>
            </w:r>
            <w:r w:rsidRPr="004D6136">
              <w:rPr>
                <w:rFonts w:ascii="Times New Roman" w:hAnsi="Times New Roman" w:cs="Times New Roman"/>
                <w:bCs/>
                <w:color w:val="000000" w:themeColor="text1"/>
                <w:lang w:val="ro-MD"/>
              </w:rPr>
              <w:t>48.2</w:t>
            </w:r>
            <w:r w:rsidR="00816196" w:rsidRPr="004D6136">
              <w:rPr>
                <w:rFonts w:ascii="Times New Roman" w:hAnsi="Times New Roman" w:cs="Times New Roman"/>
                <w:bCs/>
                <w:color w:val="000000" w:themeColor="text1"/>
                <w:lang w:val="ro-MD"/>
              </w:rPr>
              <w:t xml:space="preserve">, băncile pot utiliza instrumentele financiare derivate de credit cumpărate pe un grup de nume de referință pentru a </w:t>
            </w:r>
            <w:r w:rsidR="00816196" w:rsidRPr="004D6136">
              <w:rPr>
                <w:rFonts w:ascii="Times New Roman" w:hAnsi="Times New Roman" w:cs="Times New Roman"/>
                <w:bCs/>
                <w:color w:val="000000" w:themeColor="text1"/>
                <w:lang w:val="ro-MD"/>
              </w:rPr>
              <w:lastRenderedPageBreak/>
              <w:t>compensa instrumentele financiare derivate de credit scrise pe numele de referință individuale din grupul respectiv, atunci când grupul de entități de referință și nivelul de subordonare din ambele tranzacții sunt identice.</w:t>
            </w:r>
          </w:p>
        </w:tc>
        <w:tc>
          <w:tcPr>
            <w:tcW w:w="585" w:type="pct"/>
          </w:tcPr>
          <w:p w14:paraId="5CBCA82E" w14:textId="23BBD085" w:rsidR="00816196" w:rsidRPr="004D6136" w:rsidRDefault="00AA3BD3" w:rsidP="00816196">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compatibil</w:t>
            </w:r>
          </w:p>
        </w:tc>
        <w:tc>
          <w:tcPr>
            <w:tcW w:w="1261" w:type="pct"/>
          </w:tcPr>
          <w:p w14:paraId="4C8CD0BD" w14:textId="77777777" w:rsidR="00816196" w:rsidRPr="004D6136" w:rsidRDefault="00816196" w:rsidP="00816196">
            <w:pPr>
              <w:spacing w:line="276" w:lineRule="auto"/>
              <w:jc w:val="both"/>
              <w:rPr>
                <w:rFonts w:ascii="Times New Roman" w:hAnsi="Times New Roman" w:cs="Times New Roman"/>
                <w:bCs/>
                <w:color w:val="000000" w:themeColor="text1"/>
                <w:lang w:val="ro-MD"/>
              </w:rPr>
            </w:pPr>
          </w:p>
        </w:tc>
      </w:tr>
      <w:tr w:rsidR="00816196" w:rsidRPr="004D6136" w14:paraId="11693588" w14:textId="77777777" w:rsidTr="003F43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593CFD09" w14:textId="7E7C19F4"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(6)   Instituțiile nu reduc valoarea noțională efectivă a instrumentelor financiare derivate de credit scrise în cazul în care cumpără protecția creditului printr-un instrument de tipul „total </w:t>
            </w:r>
            <w:proofErr w:type="spellStart"/>
            <w:r w:rsidRPr="004D6136">
              <w:rPr>
                <w:rFonts w:ascii="Times New Roman" w:hAnsi="Times New Roman" w:cs="Times New Roman"/>
                <w:bCs/>
                <w:color w:val="000000" w:themeColor="text1"/>
                <w:lang w:val="ro-MD"/>
              </w:rPr>
              <w:t>return</w:t>
            </w:r>
            <w:proofErr w:type="spellEnd"/>
            <w:r w:rsidRPr="004D6136">
              <w:rPr>
                <w:rFonts w:ascii="Times New Roman" w:hAnsi="Times New Roman" w:cs="Times New Roman"/>
                <w:bCs/>
                <w:color w:val="000000" w:themeColor="text1"/>
                <w:lang w:val="ro-MD"/>
              </w:rPr>
              <w:t xml:space="preserve"> </w:t>
            </w:r>
            <w:proofErr w:type="spellStart"/>
            <w:r w:rsidRPr="004D6136">
              <w:rPr>
                <w:rFonts w:ascii="Times New Roman" w:hAnsi="Times New Roman" w:cs="Times New Roman"/>
                <w:bCs/>
                <w:color w:val="000000" w:themeColor="text1"/>
                <w:lang w:val="ro-MD"/>
              </w:rPr>
              <w:t>swap</w:t>
            </w:r>
            <w:proofErr w:type="spellEnd"/>
            <w:r w:rsidRPr="004D6136">
              <w:rPr>
                <w:rFonts w:ascii="Times New Roman" w:hAnsi="Times New Roman" w:cs="Times New Roman"/>
                <w:bCs/>
                <w:color w:val="000000" w:themeColor="text1"/>
                <w:lang w:val="ro-MD"/>
              </w:rPr>
              <w:t>” și înregistrează plățile nete primite ca venit net, dar nu înregistrează ca efect compensator, în fondurile proprii de nivel 1, nicio a valorii instrumentului financiar derivat de credit subscris.</w:t>
            </w:r>
          </w:p>
        </w:tc>
        <w:tc>
          <w:tcPr>
            <w:tcW w:w="1557" w:type="pct"/>
            <w:shd w:val="clear" w:color="auto" w:fill="auto"/>
          </w:tcPr>
          <w:p w14:paraId="13C433DD" w14:textId="530AD62C" w:rsidR="00816196" w:rsidRPr="004D6136" w:rsidRDefault="00166A52"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52</w:t>
            </w:r>
            <w:r w:rsidR="00816196" w:rsidRPr="004D6136">
              <w:rPr>
                <w:rFonts w:ascii="Times New Roman" w:hAnsi="Times New Roman" w:cs="Times New Roman"/>
                <w:bCs/>
                <w:color w:val="000000" w:themeColor="text1"/>
                <w:lang w:val="ro-MD"/>
              </w:rPr>
              <w:t xml:space="preserve">.   Băncile nu reduc valoarea noțională efectivă a instrumentelor financiare derivate de credit scrise în cazul în care cumpără protecția creditului printr-un instrument de tipul „total </w:t>
            </w:r>
            <w:proofErr w:type="spellStart"/>
            <w:r w:rsidR="00816196" w:rsidRPr="004D6136">
              <w:rPr>
                <w:rFonts w:ascii="Times New Roman" w:hAnsi="Times New Roman" w:cs="Times New Roman"/>
                <w:bCs/>
                <w:color w:val="000000" w:themeColor="text1"/>
                <w:lang w:val="ro-MD"/>
              </w:rPr>
              <w:t>return</w:t>
            </w:r>
            <w:proofErr w:type="spellEnd"/>
            <w:r w:rsidR="00816196" w:rsidRPr="004D6136">
              <w:rPr>
                <w:rFonts w:ascii="Times New Roman" w:hAnsi="Times New Roman" w:cs="Times New Roman"/>
                <w:bCs/>
                <w:color w:val="000000" w:themeColor="text1"/>
                <w:lang w:val="ro-MD"/>
              </w:rPr>
              <w:t xml:space="preserve"> </w:t>
            </w:r>
            <w:proofErr w:type="spellStart"/>
            <w:r w:rsidR="00816196" w:rsidRPr="004D6136">
              <w:rPr>
                <w:rFonts w:ascii="Times New Roman" w:hAnsi="Times New Roman" w:cs="Times New Roman"/>
                <w:bCs/>
                <w:color w:val="000000" w:themeColor="text1"/>
                <w:lang w:val="ro-MD"/>
              </w:rPr>
              <w:t>swap</w:t>
            </w:r>
            <w:proofErr w:type="spellEnd"/>
            <w:r w:rsidR="00816196" w:rsidRPr="004D6136">
              <w:rPr>
                <w:rFonts w:ascii="Times New Roman" w:hAnsi="Times New Roman" w:cs="Times New Roman"/>
                <w:bCs/>
                <w:color w:val="000000" w:themeColor="text1"/>
                <w:lang w:val="ro-MD"/>
              </w:rPr>
              <w:t xml:space="preserve">” și înregistrează plățile nete primite ca venit net, dar nu înregistrează, nicio </w:t>
            </w:r>
            <w:r w:rsidR="00EB04C3" w:rsidRPr="004D6136">
              <w:rPr>
                <w:rFonts w:ascii="Times New Roman" w:hAnsi="Times New Roman" w:cs="Times New Roman"/>
                <w:bCs/>
                <w:color w:val="000000" w:themeColor="text1"/>
                <w:lang w:val="ro-MD"/>
              </w:rPr>
              <w:t>compensare a deteriorării</w:t>
            </w:r>
            <w:r w:rsidR="00EB04C3" w:rsidRPr="004D6136" w:rsidDel="00EB04C3">
              <w:rPr>
                <w:rFonts w:ascii="Times New Roman" w:hAnsi="Times New Roman" w:cs="Times New Roman"/>
                <w:bCs/>
                <w:color w:val="000000" w:themeColor="text1"/>
                <w:lang w:val="ro-MD"/>
              </w:rPr>
              <w:t xml:space="preserve"> </w:t>
            </w:r>
            <w:r w:rsidR="00816196" w:rsidRPr="004D6136">
              <w:rPr>
                <w:rFonts w:ascii="Times New Roman" w:hAnsi="Times New Roman" w:cs="Times New Roman"/>
                <w:bCs/>
                <w:color w:val="000000" w:themeColor="text1"/>
                <w:lang w:val="ro-MD"/>
              </w:rPr>
              <w:t>valorii instrumentului financiar derivat de credit subscris</w:t>
            </w:r>
            <w:r w:rsidR="00EB04C3" w:rsidRPr="004D6136">
              <w:rPr>
                <w:lang w:val="it-IT"/>
              </w:rPr>
              <w:t xml:space="preserve"> </w:t>
            </w:r>
            <w:r w:rsidR="00EB04C3" w:rsidRPr="004D6136">
              <w:rPr>
                <w:rFonts w:ascii="Times New Roman" w:hAnsi="Times New Roman" w:cs="Times New Roman"/>
                <w:bCs/>
                <w:color w:val="000000" w:themeColor="text1"/>
                <w:lang w:val="ro-MD"/>
              </w:rPr>
              <w:t>în fondurile proprii de nivel 1</w:t>
            </w:r>
            <w:r w:rsidR="00816196" w:rsidRPr="004D6136">
              <w:rPr>
                <w:rFonts w:ascii="Times New Roman" w:hAnsi="Times New Roman" w:cs="Times New Roman"/>
                <w:bCs/>
                <w:color w:val="000000" w:themeColor="text1"/>
                <w:lang w:val="ro-MD"/>
              </w:rPr>
              <w:t>.</w:t>
            </w:r>
          </w:p>
        </w:tc>
        <w:tc>
          <w:tcPr>
            <w:tcW w:w="585" w:type="pct"/>
          </w:tcPr>
          <w:p w14:paraId="690666D8" w14:textId="1B231469" w:rsidR="00816196" w:rsidRPr="004D6136" w:rsidRDefault="00AA3BD3" w:rsidP="00816196">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compatibil</w:t>
            </w:r>
          </w:p>
        </w:tc>
        <w:tc>
          <w:tcPr>
            <w:tcW w:w="1261" w:type="pct"/>
          </w:tcPr>
          <w:p w14:paraId="35A46A33" w14:textId="77777777" w:rsidR="00816196" w:rsidRPr="004D6136" w:rsidRDefault="00816196" w:rsidP="00816196">
            <w:pPr>
              <w:spacing w:line="276" w:lineRule="auto"/>
              <w:jc w:val="both"/>
              <w:rPr>
                <w:rFonts w:ascii="Times New Roman" w:hAnsi="Times New Roman" w:cs="Times New Roman"/>
                <w:bCs/>
                <w:color w:val="000000" w:themeColor="text1"/>
                <w:lang w:val="ro-MD"/>
              </w:rPr>
            </w:pPr>
          </w:p>
        </w:tc>
      </w:tr>
      <w:tr w:rsidR="00816196" w:rsidRPr="004D6136" w14:paraId="637EB410" w14:textId="77777777" w:rsidTr="003F43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37AB2A9F" w14:textId="70E3AFAB"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(7)   În cazul instrumentelor financiare derivate de credit cumpărate pe un portofoliu de obligații de referință, instituțiile pot scădea din valoarea noțională efectivă a instrumentelor financiare derivate de credit scrise pe obligațiile individuale de referință valoarea noțională efectivă a instrumentelor financiare derivate de credit cumpărate în conformitate cu alineatul (3) numai dacă protecția cumpărată este echivalentă din punct de vedere economic cu cumpărarea protecției separat pentru fiecare dintre obligațiile individuale din portofoliu.</w:t>
            </w:r>
          </w:p>
        </w:tc>
        <w:tc>
          <w:tcPr>
            <w:tcW w:w="1557" w:type="pct"/>
            <w:shd w:val="clear" w:color="auto" w:fill="auto"/>
          </w:tcPr>
          <w:p w14:paraId="3C8EE2F0" w14:textId="3027718D" w:rsidR="00816196" w:rsidRPr="004D6136" w:rsidRDefault="00166A52"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53</w:t>
            </w:r>
            <w:r w:rsidR="00816196" w:rsidRPr="004D6136">
              <w:rPr>
                <w:rFonts w:ascii="Times New Roman" w:hAnsi="Times New Roman" w:cs="Times New Roman"/>
                <w:bCs/>
                <w:color w:val="000000" w:themeColor="text1"/>
                <w:lang w:val="ro-MD"/>
              </w:rPr>
              <w:t>.   În cazul instrumentelor financiare derivate de credit cumpărate pe un portofoliu de obligații de referință, băncile pot scădea din valoarea noțională efectivă a instrumentelor financiare derivate de credit scrise pe obligațiile individuale de referință valoarea noțională efectivă a instrumentelor financiare derivate de credit cumpărate în conformitate cu pct.</w:t>
            </w:r>
            <w:r w:rsidRPr="004D6136">
              <w:rPr>
                <w:rFonts w:ascii="Times New Roman" w:hAnsi="Times New Roman" w:cs="Times New Roman"/>
                <w:bCs/>
                <w:color w:val="000000" w:themeColor="text1"/>
                <w:lang w:val="ro-MD"/>
              </w:rPr>
              <w:t>48-49</w:t>
            </w:r>
            <w:r w:rsidR="00816196" w:rsidRPr="004D6136">
              <w:rPr>
                <w:rFonts w:ascii="Times New Roman" w:hAnsi="Times New Roman" w:cs="Times New Roman"/>
                <w:bCs/>
                <w:color w:val="000000" w:themeColor="text1"/>
                <w:lang w:val="ro-MD"/>
              </w:rPr>
              <w:t xml:space="preserve"> numai dacă protecția cumpărată este echivalentă din punct de vedere economic cu cumpărarea protecției separat pentru fiecare dintre obligațiile individuale din portofoliu.</w:t>
            </w:r>
          </w:p>
        </w:tc>
        <w:tc>
          <w:tcPr>
            <w:tcW w:w="585" w:type="pct"/>
          </w:tcPr>
          <w:p w14:paraId="50A4EE79" w14:textId="0B5AA6CB" w:rsidR="00816196" w:rsidRPr="004D6136" w:rsidRDefault="00AA3BD3" w:rsidP="00816196">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compatibil</w:t>
            </w:r>
          </w:p>
        </w:tc>
        <w:tc>
          <w:tcPr>
            <w:tcW w:w="1261" w:type="pct"/>
          </w:tcPr>
          <w:p w14:paraId="625D7744" w14:textId="77777777" w:rsidR="00816196" w:rsidRPr="004D6136" w:rsidRDefault="00816196" w:rsidP="00816196">
            <w:pPr>
              <w:spacing w:line="276" w:lineRule="auto"/>
              <w:jc w:val="both"/>
              <w:rPr>
                <w:rFonts w:ascii="Times New Roman" w:hAnsi="Times New Roman" w:cs="Times New Roman"/>
                <w:bCs/>
                <w:color w:val="000000" w:themeColor="text1"/>
                <w:lang w:val="ro-MD"/>
              </w:rPr>
            </w:pPr>
          </w:p>
        </w:tc>
      </w:tr>
      <w:tr w:rsidR="00816196" w:rsidRPr="004D6136" w14:paraId="780D3AD6" w14:textId="77777777" w:rsidTr="000A2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2014A18C" w14:textId="044FA4D8" w:rsidR="00816196" w:rsidRPr="004D6136" w:rsidRDefault="00816196" w:rsidP="00816196">
            <w:pPr>
              <w:spacing w:after="0" w:line="276" w:lineRule="auto"/>
              <w:jc w:val="both"/>
              <w:rPr>
                <w:rFonts w:ascii="Times New Roman" w:hAnsi="Times New Roman" w:cs="Times New Roman"/>
                <w:b/>
                <w:color w:val="000000" w:themeColor="text1"/>
                <w:lang w:val="ro-MD"/>
              </w:rPr>
            </w:pPr>
            <w:r w:rsidRPr="004D6136">
              <w:rPr>
                <w:rFonts w:ascii="Times New Roman" w:hAnsi="Times New Roman" w:cs="Times New Roman"/>
                <w:b/>
                <w:color w:val="000000" w:themeColor="text1"/>
                <w:lang w:val="ro-MD"/>
              </w:rPr>
              <w:t>Articolul 429e</w:t>
            </w:r>
          </w:p>
          <w:p w14:paraId="4F4C7180" w14:textId="5286469C" w:rsidR="00816196" w:rsidRPr="004D6136" w:rsidRDefault="00816196" w:rsidP="00816196">
            <w:pPr>
              <w:spacing w:after="0" w:line="276" w:lineRule="auto"/>
              <w:jc w:val="both"/>
              <w:rPr>
                <w:rFonts w:ascii="Times New Roman" w:hAnsi="Times New Roman" w:cs="Times New Roman"/>
                <w:bCs/>
                <w:color w:val="000000" w:themeColor="text1"/>
                <w:lang w:val="ro-RO"/>
              </w:rPr>
            </w:pPr>
            <w:r w:rsidRPr="004D6136">
              <w:rPr>
                <w:rFonts w:ascii="Times New Roman" w:hAnsi="Times New Roman" w:cs="Times New Roman"/>
                <w:b/>
                <w:color w:val="000000" w:themeColor="text1"/>
                <w:lang w:val="ro-MD"/>
              </w:rPr>
              <w:lastRenderedPageBreak/>
              <w:t xml:space="preserve">Majorarea pentru riscul de credit al </w:t>
            </w:r>
            <w:proofErr w:type="spellStart"/>
            <w:r w:rsidRPr="004D6136">
              <w:rPr>
                <w:rFonts w:ascii="Times New Roman" w:hAnsi="Times New Roman" w:cs="Times New Roman"/>
                <w:b/>
                <w:color w:val="000000" w:themeColor="text1"/>
                <w:lang w:val="ro-MD"/>
              </w:rPr>
              <w:t>contrapărții</w:t>
            </w:r>
            <w:proofErr w:type="spellEnd"/>
            <w:r w:rsidRPr="004D6136">
              <w:rPr>
                <w:rFonts w:ascii="Times New Roman" w:hAnsi="Times New Roman" w:cs="Times New Roman"/>
                <w:b/>
                <w:color w:val="000000" w:themeColor="text1"/>
                <w:lang w:val="ro-MD"/>
              </w:rPr>
              <w:t xml:space="preserve"> aferent operațiunilor de finanțare prin titluri de valoare</w:t>
            </w:r>
          </w:p>
        </w:tc>
        <w:tc>
          <w:tcPr>
            <w:tcW w:w="1557" w:type="pct"/>
          </w:tcPr>
          <w:p w14:paraId="550DA77E" w14:textId="5006C423" w:rsidR="00816196" w:rsidRPr="004D6136" w:rsidRDefault="00816196" w:rsidP="00816196">
            <w:pPr>
              <w:spacing w:after="0" w:line="276" w:lineRule="auto"/>
              <w:jc w:val="both"/>
              <w:rPr>
                <w:rFonts w:ascii="Times New Roman" w:hAnsi="Times New Roman" w:cs="Times New Roman"/>
                <w:b/>
                <w:color w:val="000000" w:themeColor="text1"/>
                <w:lang w:val="ro-MD"/>
              </w:rPr>
            </w:pPr>
            <w:bookmarkStart w:id="20" w:name="_Hlk188368043"/>
            <w:r w:rsidRPr="004D6136">
              <w:rPr>
                <w:rFonts w:ascii="Times New Roman" w:hAnsi="Times New Roman" w:cs="Times New Roman"/>
                <w:b/>
                <w:color w:val="000000" w:themeColor="text1"/>
                <w:lang w:val="ro-MD"/>
              </w:rPr>
              <w:lastRenderedPageBreak/>
              <w:t>Secțiunea 7</w:t>
            </w:r>
          </w:p>
          <w:p w14:paraId="42AB2B4B" w14:textId="2E9F5E50"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
                <w:color w:val="000000" w:themeColor="text1"/>
                <w:lang w:val="ro-MD"/>
              </w:rPr>
              <w:lastRenderedPageBreak/>
              <w:t xml:space="preserve">Majorarea pentru riscul de credit al </w:t>
            </w:r>
            <w:proofErr w:type="spellStart"/>
            <w:r w:rsidRPr="004D6136">
              <w:rPr>
                <w:rFonts w:ascii="Times New Roman" w:hAnsi="Times New Roman" w:cs="Times New Roman"/>
                <w:b/>
                <w:color w:val="000000" w:themeColor="text1"/>
                <w:lang w:val="ro-MD"/>
              </w:rPr>
              <w:t>contrapărții</w:t>
            </w:r>
            <w:proofErr w:type="spellEnd"/>
            <w:r w:rsidRPr="004D6136">
              <w:rPr>
                <w:rFonts w:ascii="Times New Roman" w:hAnsi="Times New Roman" w:cs="Times New Roman"/>
                <w:b/>
                <w:color w:val="000000" w:themeColor="text1"/>
                <w:lang w:val="ro-MD"/>
              </w:rPr>
              <w:t xml:space="preserve"> aferent operațiunilor de finanțare prin titluri de valoare</w:t>
            </w:r>
            <w:bookmarkEnd w:id="20"/>
          </w:p>
        </w:tc>
        <w:tc>
          <w:tcPr>
            <w:tcW w:w="585" w:type="pct"/>
          </w:tcPr>
          <w:p w14:paraId="3BA8B663" w14:textId="77777777" w:rsidR="00816196" w:rsidRPr="004D6136" w:rsidRDefault="00816196" w:rsidP="00816196">
            <w:pPr>
              <w:spacing w:line="276" w:lineRule="auto"/>
              <w:jc w:val="both"/>
              <w:rPr>
                <w:rFonts w:ascii="Times New Roman" w:hAnsi="Times New Roman" w:cs="Times New Roman"/>
                <w:bCs/>
                <w:color w:val="000000" w:themeColor="text1"/>
                <w:lang w:val="ro-MD"/>
              </w:rPr>
            </w:pPr>
          </w:p>
        </w:tc>
        <w:tc>
          <w:tcPr>
            <w:tcW w:w="1261" w:type="pct"/>
          </w:tcPr>
          <w:p w14:paraId="5269BB25" w14:textId="77777777" w:rsidR="00816196" w:rsidRPr="004D6136" w:rsidRDefault="00816196" w:rsidP="00816196">
            <w:pPr>
              <w:spacing w:line="276" w:lineRule="auto"/>
              <w:jc w:val="both"/>
              <w:rPr>
                <w:rFonts w:ascii="Times New Roman" w:hAnsi="Times New Roman" w:cs="Times New Roman"/>
                <w:bCs/>
                <w:color w:val="000000" w:themeColor="text1"/>
                <w:lang w:val="ro-MD"/>
              </w:rPr>
            </w:pPr>
          </w:p>
        </w:tc>
      </w:tr>
      <w:tr w:rsidR="00816196" w:rsidRPr="004D6136" w14:paraId="4CA5738D" w14:textId="77777777" w:rsidTr="00E42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42CFEC15" w14:textId="02E04159"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(1)   Pe lângă calculul valorii expunerii operațiunilor de finanțare prin titluri de valoare, inclusiv a celor care sunt </w:t>
            </w:r>
            <w:proofErr w:type="spellStart"/>
            <w:r w:rsidRPr="004D6136">
              <w:rPr>
                <w:rFonts w:ascii="Times New Roman" w:hAnsi="Times New Roman" w:cs="Times New Roman"/>
                <w:bCs/>
                <w:color w:val="000000" w:themeColor="text1"/>
                <w:lang w:val="ro-MD"/>
              </w:rPr>
              <w:t>extrabilanțiere</w:t>
            </w:r>
            <w:proofErr w:type="spellEnd"/>
            <w:r w:rsidRPr="004D6136">
              <w:rPr>
                <w:rFonts w:ascii="Times New Roman" w:hAnsi="Times New Roman" w:cs="Times New Roman"/>
                <w:bCs/>
                <w:color w:val="000000" w:themeColor="text1"/>
                <w:lang w:val="ro-MD"/>
              </w:rPr>
              <w:t xml:space="preserve"> în conformitate cu articolul 429b alineatul (1), instituțiile includ în indicatorul de măsurare a expunerii totale o majorare pentru riscul de credit al </w:t>
            </w:r>
            <w:proofErr w:type="spellStart"/>
            <w:r w:rsidRPr="004D6136">
              <w:rPr>
                <w:rFonts w:ascii="Times New Roman" w:hAnsi="Times New Roman" w:cs="Times New Roman"/>
                <w:bCs/>
                <w:color w:val="000000" w:themeColor="text1"/>
                <w:lang w:val="ro-MD"/>
              </w:rPr>
              <w:t>contrapărții</w:t>
            </w:r>
            <w:proofErr w:type="spellEnd"/>
            <w:r w:rsidRPr="004D6136">
              <w:rPr>
                <w:rFonts w:ascii="Times New Roman" w:hAnsi="Times New Roman" w:cs="Times New Roman"/>
                <w:bCs/>
                <w:color w:val="000000" w:themeColor="text1"/>
                <w:lang w:val="ro-MD"/>
              </w:rPr>
              <w:t>, calculată în conformitate cu alineatul (2) sau (3) de la prezentului articol, după caz.</w:t>
            </w:r>
          </w:p>
        </w:tc>
        <w:tc>
          <w:tcPr>
            <w:tcW w:w="1557" w:type="pct"/>
            <w:shd w:val="clear" w:color="auto" w:fill="auto"/>
          </w:tcPr>
          <w:p w14:paraId="3DA0C7D5" w14:textId="6E31F320" w:rsidR="00816196" w:rsidRPr="004D6136" w:rsidRDefault="00166A52"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54</w:t>
            </w:r>
            <w:r w:rsidR="00816196" w:rsidRPr="004D6136">
              <w:rPr>
                <w:rFonts w:ascii="Times New Roman" w:hAnsi="Times New Roman" w:cs="Times New Roman"/>
                <w:bCs/>
                <w:color w:val="000000" w:themeColor="text1"/>
                <w:lang w:val="ro-MD"/>
              </w:rPr>
              <w:t xml:space="preserve">.   Pe lângă calculul valorii expunerii operațiunilor de finanțare prin titluri de valoare, inclusiv a celor care sunt </w:t>
            </w:r>
            <w:proofErr w:type="spellStart"/>
            <w:r w:rsidR="00816196" w:rsidRPr="004D6136">
              <w:rPr>
                <w:rFonts w:ascii="Times New Roman" w:hAnsi="Times New Roman" w:cs="Times New Roman"/>
                <w:bCs/>
                <w:color w:val="000000" w:themeColor="text1"/>
                <w:lang w:val="ro-MD"/>
              </w:rPr>
              <w:t>extrabilanțiere</w:t>
            </w:r>
            <w:proofErr w:type="spellEnd"/>
            <w:r w:rsidR="00816196" w:rsidRPr="004D6136">
              <w:rPr>
                <w:rFonts w:ascii="Times New Roman" w:hAnsi="Times New Roman" w:cs="Times New Roman"/>
                <w:bCs/>
                <w:color w:val="000000" w:themeColor="text1"/>
                <w:lang w:val="ro-MD"/>
              </w:rPr>
              <w:t xml:space="preserve"> în conformitate cu pct.2</w:t>
            </w:r>
            <w:r w:rsidR="001A47C7" w:rsidRPr="004D6136">
              <w:rPr>
                <w:rFonts w:ascii="Times New Roman" w:hAnsi="Times New Roman" w:cs="Times New Roman"/>
                <w:bCs/>
                <w:color w:val="000000" w:themeColor="text1"/>
                <w:lang w:val="ro-MD"/>
              </w:rPr>
              <w:t>4</w:t>
            </w:r>
            <w:r w:rsidR="00816196" w:rsidRPr="004D6136">
              <w:rPr>
                <w:rFonts w:ascii="Times New Roman" w:hAnsi="Times New Roman" w:cs="Times New Roman"/>
                <w:bCs/>
                <w:color w:val="000000" w:themeColor="text1"/>
                <w:lang w:val="ro-MD"/>
              </w:rPr>
              <w:t xml:space="preserve">, băncile includ în indicatorul de măsurare a expunerii totale o majorare pentru riscul de credit al </w:t>
            </w:r>
            <w:proofErr w:type="spellStart"/>
            <w:r w:rsidR="00816196" w:rsidRPr="004D6136">
              <w:rPr>
                <w:rFonts w:ascii="Times New Roman" w:hAnsi="Times New Roman" w:cs="Times New Roman"/>
                <w:bCs/>
                <w:color w:val="000000" w:themeColor="text1"/>
                <w:lang w:val="ro-MD"/>
              </w:rPr>
              <w:t>contrapărții</w:t>
            </w:r>
            <w:proofErr w:type="spellEnd"/>
            <w:r w:rsidR="00816196" w:rsidRPr="004D6136">
              <w:rPr>
                <w:rFonts w:ascii="Times New Roman" w:hAnsi="Times New Roman" w:cs="Times New Roman"/>
                <w:bCs/>
                <w:color w:val="000000" w:themeColor="text1"/>
                <w:lang w:val="ro-MD"/>
              </w:rPr>
              <w:t>, calculată în conformitate cu pct.</w:t>
            </w:r>
            <w:r w:rsidR="00C7336D" w:rsidRPr="004D6136">
              <w:rPr>
                <w:rFonts w:ascii="Times New Roman" w:hAnsi="Times New Roman" w:cs="Times New Roman"/>
                <w:bCs/>
                <w:color w:val="000000" w:themeColor="text1"/>
                <w:lang w:val="ro-MD"/>
              </w:rPr>
              <w:t>55</w:t>
            </w:r>
            <w:r w:rsidR="00816196" w:rsidRPr="004D6136">
              <w:rPr>
                <w:rFonts w:ascii="Times New Roman" w:hAnsi="Times New Roman" w:cs="Times New Roman"/>
                <w:bCs/>
                <w:color w:val="000000" w:themeColor="text1"/>
                <w:lang w:val="ro-MD"/>
              </w:rPr>
              <w:t xml:space="preserve"> sau </w:t>
            </w:r>
            <w:r w:rsidR="00C7336D" w:rsidRPr="004D6136">
              <w:rPr>
                <w:rFonts w:ascii="Times New Roman" w:hAnsi="Times New Roman" w:cs="Times New Roman"/>
                <w:bCs/>
                <w:color w:val="000000" w:themeColor="text1"/>
                <w:lang w:val="ro-MD"/>
              </w:rPr>
              <w:t>56</w:t>
            </w:r>
            <w:r w:rsidR="00816196" w:rsidRPr="004D6136">
              <w:rPr>
                <w:rFonts w:ascii="Times New Roman" w:hAnsi="Times New Roman" w:cs="Times New Roman"/>
                <w:bCs/>
                <w:color w:val="000000" w:themeColor="text1"/>
                <w:lang w:val="ro-MD"/>
              </w:rPr>
              <w:t>, după caz.</w:t>
            </w:r>
          </w:p>
        </w:tc>
        <w:tc>
          <w:tcPr>
            <w:tcW w:w="585" w:type="pct"/>
          </w:tcPr>
          <w:p w14:paraId="5C1F06ED" w14:textId="15B5CF7F" w:rsidR="00816196" w:rsidRPr="004D6136" w:rsidRDefault="00AA3BD3" w:rsidP="00816196">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compatibil</w:t>
            </w:r>
          </w:p>
        </w:tc>
        <w:tc>
          <w:tcPr>
            <w:tcW w:w="1261" w:type="pct"/>
          </w:tcPr>
          <w:p w14:paraId="2D59960E" w14:textId="77777777" w:rsidR="00816196" w:rsidRPr="004D6136" w:rsidRDefault="00816196" w:rsidP="00816196">
            <w:pPr>
              <w:spacing w:line="276" w:lineRule="auto"/>
              <w:jc w:val="both"/>
              <w:rPr>
                <w:rFonts w:ascii="Times New Roman" w:hAnsi="Times New Roman" w:cs="Times New Roman"/>
                <w:bCs/>
                <w:color w:val="000000" w:themeColor="text1"/>
                <w:lang w:val="ro-MD"/>
              </w:rPr>
            </w:pPr>
          </w:p>
        </w:tc>
      </w:tr>
      <w:tr w:rsidR="00816196" w:rsidRPr="004D6136" w14:paraId="24589874" w14:textId="77777777" w:rsidTr="00E42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66BFD62A" w14:textId="56E84F53"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hint="eastAsia"/>
                <w:bCs/>
                <w:color w:val="000000" w:themeColor="text1"/>
                <w:lang w:val="ro-MD"/>
              </w:rPr>
              <w:t xml:space="preserve">(2)   Instituțiile calculează majorarea pentru </w:t>
            </w:r>
            <w:r w:rsidRPr="004D6136">
              <w:rPr>
                <w:rFonts w:ascii="Times New Roman" w:hAnsi="Times New Roman" w:cs="Times New Roman"/>
                <w:bCs/>
                <w:color w:val="000000" w:themeColor="text1"/>
                <w:lang w:val="ro-MD"/>
              </w:rPr>
              <w:t>t</w:t>
            </w:r>
            <w:r w:rsidRPr="004D6136">
              <w:rPr>
                <w:rFonts w:ascii="Times New Roman" w:hAnsi="Times New Roman" w:cs="Times New Roman" w:hint="eastAsia"/>
                <w:bCs/>
                <w:color w:val="000000" w:themeColor="text1"/>
                <w:lang w:val="ro-MD"/>
              </w:rPr>
              <w:t xml:space="preserve">ranzacțiile cu o </w:t>
            </w:r>
            <w:proofErr w:type="spellStart"/>
            <w:r w:rsidRPr="004D6136">
              <w:rPr>
                <w:rFonts w:ascii="Times New Roman" w:hAnsi="Times New Roman" w:cs="Times New Roman" w:hint="eastAsia"/>
                <w:bCs/>
                <w:color w:val="000000" w:themeColor="text1"/>
                <w:lang w:val="ro-MD"/>
              </w:rPr>
              <w:t>contraparte</w:t>
            </w:r>
            <w:proofErr w:type="spellEnd"/>
            <w:r w:rsidRPr="004D6136">
              <w:rPr>
                <w:rFonts w:ascii="Times New Roman" w:hAnsi="Times New Roman" w:cs="Times New Roman" w:hint="eastAsia"/>
                <w:bCs/>
                <w:color w:val="000000" w:themeColor="text1"/>
                <w:lang w:val="ro-MD"/>
              </w:rPr>
              <w:t xml:space="preserve"> care nu fac obiectul unui acord-cadru de compensare ce îndeplinește condițiile prevăzute la articolul 206 pentru fiecare tranzacție în parte, în conformitate cu următoarea formulă:</w:t>
            </w:r>
          </w:p>
          <w:p w14:paraId="688805C9" w14:textId="77777777" w:rsidR="00816196" w:rsidRPr="004D6136" w:rsidRDefault="00816196" w:rsidP="00816196">
            <w:pPr>
              <w:shd w:val="clear" w:color="auto" w:fill="FFFFFF"/>
              <w:spacing w:after="0" w:line="312" w:lineRule="atLeast"/>
              <w:jc w:val="center"/>
              <w:rPr>
                <w:rFonts w:ascii="Times New Roman" w:hAnsi="Times New Roman" w:cs="Times New Roman"/>
                <w:bCs/>
                <w:color w:val="000000" w:themeColor="text1"/>
                <w:lang w:val="ro-MD"/>
              </w:rPr>
            </w:pPr>
            <w:r w:rsidRPr="004D6136">
              <w:rPr>
                <w:rFonts w:ascii="Times New Roman" w:hAnsi="Times New Roman" w:cs="Times New Roman"/>
                <w:bCs/>
                <w:noProof/>
                <w:color w:val="000000" w:themeColor="text1"/>
                <w:lang w:val="ro-MD"/>
              </w:rPr>
              <w:drawing>
                <wp:inline distT="0" distB="0" distL="0" distR="0" wp14:anchorId="182F991C" wp14:editId="75118343">
                  <wp:extent cx="2231390" cy="380365"/>
                  <wp:effectExtent l="0" t="0" r="0" b="635"/>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1390" cy="380365"/>
                          </a:xfrm>
                          <a:prstGeom prst="rect">
                            <a:avLst/>
                          </a:prstGeom>
                          <a:noFill/>
                          <a:ln>
                            <a:noFill/>
                          </a:ln>
                        </pic:spPr>
                      </pic:pic>
                    </a:graphicData>
                  </a:graphic>
                </wp:inline>
              </w:drawing>
            </w:r>
          </w:p>
          <w:p w14:paraId="4552EBE0" w14:textId="77777777" w:rsidR="00816196" w:rsidRPr="004D6136" w:rsidRDefault="00816196" w:rsidP="00816196">
            <w:pPr>
              <w:shd w:val="clear" w:color="auto" w:fill="FFFFFF"/>
              <w:spacing w:before="120" w:after="0" w:line="312" w:lineRule="atLeast"/>
              <w:jc w:val="both"/>
              <w:rPr>
                <w:rFonts w:ascii="Times New Roman" w:hAnsi="Times New Roman" w:cs="Times New Roman"/>
                <w:bCs/>
                <w:color w:val="000000" w:themeColor="text1"/>
                <w:lang w:val="ro-MD"/>
              </w:rPr>
            </w:pPr>
            <w:r w:rsidRPr="004D6136">
              <w:rPr>
                <w:rFonts w:ascii="Times New Roman" w:hAnsi="Times New Roman" w:cs="Times New Roman" w:hint="eastAsia"/>
                <w:bCs/>
                <w:color w:val="000000" w:themeColor="text1"/>
                <w:lang w:val="ro-MD"/>
              </w:rPr>
              <w:t>unde:</w:t>
            </w:r>
          </w:p>
          <w:tbl>
            <w:tblPr>
              <w:tblW w:w="5000" w:type="pct"/>
              <w:tblLayout w:type="fixed"/>
              <w:tblCellMar>
                <w:left w:w="0" w:type="dxa"/>
                <w:right w:w="0" w:type="dxa"/>
              </w:tblCellMar>
              <w:tblLook w:val="04A0" w:firstRow="1" w:lastRow="0" w:firstColumn="1" w:lastColumn="0" w:noHBand="0" w:noVBand="1"/>
            </w:tblPr>
            <w:tblGrid>
              <w:gridCol w:w="1498"/>
              <w:gridCol w:w="396"/>
              <w:gridCol w:w="2918"/>
            </w:tblGrid>
            <w:tr w:rsidR="00816196" w:rsidRPr="004D6136" w14:paraId="12E090D6" w14:textId="77777777" w:rsidTr="00A9310E">
              <w:tc>
                <w:tcPr>
                  <w:tcW w:w="3015" w:type="dxa"/>
                  <w:shd w:val="clear" w:color="auto" w:fill="auto"/>
                  <w:hideMark/>
                </w:tcPr>
                <w:p w14:paraId="192FD3E2" w14:textId="77777777" w:rsidR="00816196" w:rsidRPr="004D6136" w:rsidRDefault="00816196" w:rsidP="00816196">
                  <w:pPr>
                    <w:spacing w:after="0" w:line="312" w:lineRule="atLeast"/>
                    <w:jc w:val="center"/>
                    <w:rPr>
                      <w:rFonts w:ascii="Times New Roman" w:hAnsi="Times New Roman" w:cs="Times New Roman"/>
                      <w:bCs/>
                      <w:color w:val="000000" w:themeColor="text1"/>
                      <w:lang w:val="ro-MD"/>
                    </w:rPr>
                  </w:pPr>
                  <w:r w:rsidRPr="004D6136">
                    <w:rPr>
                      <w:rFonts w:ascii="Times New Roman" w:hAnsi="Times New Roman" w:cs="Times New Roman"/>
                      <w:bCs/>
                      <w:noProof/>
                      <w:color w:val="000000" w:themeColor="text1"/>
                      <w:lang w:val="ro-MD"/>
                    </w:rPr>
                    <w:drawing>
                      <wp:inline distT="0" distB="0" distL="0" distR="0" wp14:anchorId="3BE5951B" wp14:editId="7195F8B5">
                        <wp:extent cx="336550" cy="380365"/>
                        <wp:effectExtent l="0" t="0" r="6350" b="635"/>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550" cy="380365"/>
                                </a:xfrm>
                                <a:prstGeom prst="rect">
                                  <a:avLst/>
                                </a:prstGeom>
                                <a:noFill/>
                                <a:ln>
                                  <a:noFill/>
                                </a:ln>
                              </pic:spPr>
                            </pic:pic>
                          </a:graphicData>
                        </a:graphic>
                      </wp:inline>
                    </w:drawing>
                  </w:r>
                </w:p>
              </w:tc>
              <w:tc>
                <w:tcPr>
                  <w:tcW w:w="781" w:type="dxa"/>
                  <w:shd w:val="clear" w:color="auto" w:fill="auto"/>
                  <w:hideMark/>
                </w:tcPr>
                <w:p w14:paraId="5AE040F8" w14:textId="77777777" w:rsidR="00816196" w:rsidRPr="004D6136" w:rsidRDefault="00816196" w:rsidP="00816196">
                  <w:pPr>
                    <w:spacing w:before="120" w:after="0" w:line="312" w:lineRule="atLeast"/>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w:t>
                  </w:r>
                </w:p>
              </w:tc>
              <w:tc>
                <w:tcPr>
                  <w:tcW w:w="5893" w:type="dxa"/>
                  <w:shd w:val="clear" w:color="auto" w:fill="auto"/>
                  <w:hideMark/>
                </w:tcPr>
                <w:p w14:paraId="682948F3" w14:textId="77777777" w:rsidR="00816196" w:rsidRPr="004D6136" w:rsidRDefault="00816196" w:rsidP="00816196">
                  <w:pPr>
                    <w:spacing w:before="120" w:after="0" w:line="312" w:lineRule="atLeast"/>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majorarea;</w:t>
                  </w:r>
                </w:p>
              </w:tc>
            </w:tr>
          </w:tbl>
          <w:p w14:paraId="4C210D33" w14:textId="77777777" w:rsidR="00816196" w:rsidRPr="004D6136" w:rsidRDefault="00816196" w:rsidP="00816196">
            <w:pPr>
              <w:shd w:val="clear" w:color="auto" w:fill="FFFFFF"/>
              <w:spacing w:after="0" w:line="240" w:lineRule="auto"/>
              <w:rPr>
                <w:rFonts w:ascii="Times New Roman" w:hAnsi="Times New Roman" w:cs="Times New Roman"/>
                <w:bCs/>
                <w:color w:val="000000" w:themeColor="text1"/>
                <w:lang w:val="ro-MD"/>
              </w:rPr>
            </w:pPr>
          </w:p>
          <w:tbl>
            <w:tblPr>
              <w:tblW w:w="4812" w:type="dxa"/>
              <w:tblInd w:w="35" w:type="dxa"/>
              <w:tblLayout w:type="fixed"/>
              <w:tblCellMar>
                <w:left w:w="0" w:type="dxa"/>
                <w:right w:w="0" w:type="dxa"/>
              </w:tblCellMar>
              <w:tblLook w:val="04A0" w:firstRow="1" w:lastRow="0" w:firstColumn="1" w:lastColumn="0" w:noHBand="0" w:noVBand="1"/>
            </w:tblPr>
            <w:tblGrid>
              <w:gridCol w:w="96"/>
              <w:gridCol w:w="186"/>
              <w:gridCol w:w="4530"/>
            </w:tblGrid>
            <w:tr w:rsidR="00816196" w:rsidRPr="004D6136" w14:paraId="54A624EF" w14:textId="77777777" w:rsidTr="00CB614B">
              <w:tc>
                <w:tcPr>
                  <w:tcW w:w="96" w:type="dxa"/>
                  <w:shd w:val="clear" w:color="auto" w:fill="auto"/>
                  <w:hideMark/>
                </w:tcPr>
                <w:p w14:paraId="2B0444DB" w14:textId="77777777" w:rsidR="00816196" w:rsidRPr="004D6136" w:rsidRDefault="00816196" w:rsidP="00816196">
                  <w:pPr>
                    <w:spacing w:before="120" w:after="0" w:line="312" w:lineRule="atLeast"/>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i</w:t>
                  </w:r>
                </w:p>
              </w:tc>
              <w:tc>
                <w:tcPr>
                  <w:tcW w:w="186" w:type="dxa"/>
                  <w:shd w:val="clear" w:color="auto" w:fill="auto"/>
                  <w:hideMark/>
                </w:tcPr>
                <w:p w14:paraId="5DD24B8A" w14:textId="77777777" w:rsidR="00816196" w:rsidRPr="004D6136" w:rsidRDefault="00816196" w:rsidP="00816196">
                  <w:pPr>
                    <w:spacing w:before="120" w:after="0" w:line="312" w:lineRule="atLeast"/>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w:t>
                  </w:r>
                </w:p>
              </w:tc>
              <w:tc>
                <w:tcPr>
                  <w:tcW w:w="4530" w:type="dxa"/>
                  <w:shd w:val="clear" w:color="auto" w:fill="auto"/>
                  <w:hideMark/>
                </w:tcPr>
                <w:p w14:paraId="67A8DFFF" w14:textId="77777777" w:rsidR="00816196" w:rsidRPr="004D6136" w:rsidRDefault="00816196" w:rsidP="00816196">
                  <w:pPr>
                    <w:spacing w:before="120" w:after="0" w:line="312" w:lineRule="atLeast"/>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indicele care desemnează tranzacția;</w:t>
                  </w:r>
                </w:p>
              </w:tc>
            </w:tr>
          </w:tbl>
          <w:p w14:paraId="04E3C2DD" w14:textId="77777777" w:rsidR="00816196" w:rsidRPr="004D6136" w:rsidRDefault="00816196" w:rsidP="00816196">
            <w:pPr>
              <w:shd w:val="clear" w:color="auto" w:fill="FFFFFF"/>
              <w:spacing w:after="0" w:line="240" w:lineRule="auto"/>
              <w:rPr>
                <w:rFonts w:ascii="Times New Roman" w:hAnsi="Times New Roman" w:cs="Times New Roman"/>
                <w:bCs/>
                <w:color w:val="000000" w:themeColor="text1"/>
                <w:lang w:val="ro-MD"/>
              </w:rPr>
            </w:pPr>
          </w:p>
          <w:tbl>
            <w:tblPr>
              <w:tblW w:w="5033" w:type="dxa"/>
              <w:tblLayout w:type="fixed"/>
              <w:tblCellMar>
                <w:left w:w="0" w:type="dxa"/>
                <w:right w:w="0" w:type="dxa"/>
              </w:tblCellMar>
              <w:tblLook w:val="04A0" w:firstRow="1" w:lastRow="0" w:firstColumn="1" w:lastColumn="0" w:noHBand="0" w:noVBand="1"/>
            </w:tblPr>
            <w:tblGrid>
              <w:gridCol w:w="319"/>
              <w:gridCol w:w="77"/>
              <w:gridCol w:w="4637"/>
            </w:tblGrid>
            <w:tr w:rsidR="00816196" w:rsidRPr="004D6136" w14:paraId="4D687A27" w14:textId="77777777" w:rsidTr="00CB614B">
              <w:tc>
                <w:tcPr>
                  <w:tcW w:w="319" w:type="dxa"/>
                  <w:shd w:val="clear" w:color="auto" w:fill="auto"/>
                  <w:hideMark/>
                </w:tcPr>
                <w:p w14:paraId="30B74A30" w14:textId="77777777" w:rsidR="00816196" w:rsidRPr="004D6136" w:rsidRDefault="00816196" w:rsidP="00816196">
                  <w:pPr>
                    <w:spacing w:before="120" w:after="0" w:line="312" w:lineRule="atLeast"/>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Ei</w:t>
                  </w:r>
                </w:p>
              </w:tc>
              <w:tc>
                <w:tcPr>
                  <w:tcW w:w="77" w:type="dxa"/>
                  <w:shd w:val="clear" w:color="auto" w:fill="auto"/>
                  <w:hideMark/>
                </w:tcPr>
                <w:p w14:paraId="02A5EC3B" w14:textId="77777777" w:rsidR="00816196" w:rsidRPr="004D6136" w:rsidRDefault="00816196" w:rsidP="00816196">
                  <w:pPr>
                    <w:spacing w:before="120" w:after="0" w:line="312" w:lineRule="atLeast"/>
                    <w:ind w:left="-138" w:firstLine="69"/>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w:t>
                  </w:r>
                </w:p>
              </w:tc>
              <w:tc>
                <w:tcPr>
                  <w:tcW w:w="4637" w:type="dxa"/>
                  <w:shd w:val="clear" w:color="auto" w:fill="auto"/>
                  <w:hideMark/>
                </w:tcPr>
                <w:p w14:paraId="32645047" w14:textId="77777777" w:rsidR="00816196" w:rsidRPr="004D6136" w:rsidRDefault="00816196" w:rsidP="00816196">
                  <w:pPr>
                    <w:spacing w:before="120" w:after="0" w:line="312" w:lineRule="atLeast"/>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valoarea justă a titlurilor de valoare sau a sumelor în numerar împrumutate </w:t>
                  </w:r>
                  <w:proofErr w:type="spellStart"/>
                  <w:r w:rsidRPr="004D6136">
                    <w:rPr>
                      <w:rFonts w:ascii="Times New Roman" w:hAnsi="Times New Roman" w:cs="Times New Roman"/>
                      <w:bCs/>
                      <w:color w:val="000000" w:themeColor="text1"/>
                      <w:lang w:val="ro-MD"/>
                    </w:rPr>
                    <w:t>contrapărții</w:t>
                  </w:r>
                  <w:proofErr w:type="spellEnd"/>
                  <w:r w:rsidRPr="004D6136">
                    <w:rPr>
                      <w:rFonts w:ascii="Times New Roman" w:hAnsi="Times New Roman" w:cs="Times New Roman"/>
                      <w:bCs/>
                      <w:color w:val="000000" w:themeColor="text1"/>
                      <w:lang w:val="ro-MD"/>
                    </w:rPr>
                    <w:t xml:space="preserve"> în cadrul tranzacției „i”; și</w:t>
                  </w:r>
                </w:p>
              </w:tc>
            </w:tr>
          </w:tbl>
          <w:p w14:paraId="3C230A27" w14:textId="77777777" w:rsidR="00816196" w:rsidRPr="004D6136" w:rsidRDefault="00816196" w:rsidP="00816196">
            <w:pPr>
              <w:shd w:val="clear" w:color="auto" w:fill="FFFFFF"/>
              <w:spacing w:after="0" w:line="240" w:lineRule="auto"/>
              <w:rPr>
                <w:rFonts w:ascii="Times New Roman" w:hAnsi="Times New Roman" w:cs="Times New Roman"/>
                <w:bCs/>
                <w:color w:val="000000" w:themeColor="text1"/>
                <w:lang w:val="ro-MD"/>
              </w:rPr>
            </w:pPr>
          </w:p>
          <w:tbl>
            <w:tblPr>
              <w:tblW w:w="4714" w:type="dxa"/>
              <w:tblLayout w:type="fixed"/>
              <w:tblCellMar>
                <w:left w:w="0" w:type="dxa"/>
                <w:right w:w="0" w:type="dxa"/>
              </w:tblCellMar>
              <w:tblLook w:val="04A0" w:firstRow="1" w:lastRow="0" w:firstColumn="1" w:lastColumn="0" w:noHBand="0" w:noVBand="1"/>
            </w:tblPr>
            <w:tblGrid>
              <w:gridCol w:w="461"/>
              <w:gridCol w:w="77"/>
              <w:gridCol w:w="4176"/>
            </w:tblGrid>
            <w:tr w:rsidR="00816196" w:rsidRPr="004D6136" w14:paraId="204C5E97" w14:textId="77777777" w:rsidTr="00CB614B">
              <w:tc>
                <w:tcPr>
                  <w:tcW w:w="461" w:type="dxa"/>
                  <w:shd w:val="clear" w:color="auto" w:fill="auto"/>
                  <w:hideMark/>
                </w:tcPr>
                <w:p w14:paraId="274947CC" w14:textId="77777777" w:rsidR="00816196" w:rsidRPr="004D6136" w:rsidRDefault="00816196" w:rsidP="00816196">
                  <w:pPr>
                    <w:spacing w:before="120" w:after="0" w:line="312" w:lineRule="atLeast"/>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Ci</w:t>
                  </w:r>
                </w:p>
              </w:tc>
              <w:tc>
                <w:tcPr>
                  <w:tcW w:w="77" w:type="dxa"/>
                  <w:shd w:val="clear" w:color="auto" w:fill="auto"/>
                  <w:hideMark/>
                </w:tcPr>
                <w:p w14:paraId="4154177B" w14:textId="77777777" w:rsidR="00816196" w:rsidRPr="004D6136" w:rsidRDefault="00816196" w:rsidP="00816196">
                  <w:pPr>
                    <w:spacing w:before="120" w:after="0" w:line="312" w:lineRule="atLeast"/>
                    <w:ind w:firstLine="73"/>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w:t>
                  </w:r>
                </w:p>
              </w:tc>
              <w:tc>
                <w:tcPr>
                  <w:tcW w:w="4176" w:type="dxa"/>
                  <w:shd w:val="clear" w:color="auto" w:fill="auto"/>
                  <w:hideMark/>
                </w:tcPr>
                <w:p w14:paraId="52159044" w14:textId="77777777" w:rsidR="00816196" w:rsidRPr="004D6136" w:rsidRDefault="00816196" w:rsidP="00816196">
                  <w:pPr>
                    <w:spacing w:before="120" w:after="0" w:line="312" w:lineRule="atLeast"/>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valoarea justă a titlurilor de valoare sau a sumelor în numerar primite de la </w:t>
                  </w:r>
                  <w:proofErr w:type="spellStart"/>
                  <w:r w:rsidRPr="004D6136">
                    <w:rPr>
                      <w:rFonts w:ascii="Times New Roman" w:hAnsi="Times New Roman" w:cs="Times New Roman"/>
                      <w:bCs/>
                      <w:color w:val="000000" w:themeColor="text1"/>
                      <w:lang w:val="ro-MD"/>
                    </w:rPr>
                    <w:t>contraparte</w:t>
                  </w:r>
                  <w:proofErr w:type="spellEnd"/>
                  <w:r w:rsidRPr="004D6136">
                    <w:rPr>
                      <w:rFonts w:ascii="Times New Roman" w:hAnsi="Times New Roman" w:cs="Times New Roman"/>
                      <w:bCs/>
                      <w:color w:val="000000" w:themeColor="text1"/>
                      <w:lang w:val="ro-MD"/>
                    </w:rPr>
                    <w:t xml:space="preserve"> în cadrul tranzacției „i”.</w:t>
                  </w:r>
                </w:p>
              </w:tc>
            </w:tr>
          </w:tbl>
          <w:p w14:paraId="3DADAE7F" w14:textId="00F580F0"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hint="eastAsia"/>
                <w:bCs/>
                <w:color w:val="000000" w:themeColor="text1"/>
                <w:lang w:val="ro-MD"/>
              </w:rPr>
              <w:t>Instituțiile pot stabili că</w:t>
            </w:r>
            <w:r w:rsidRPr="004D6136">
              <w:rPr>
                <w:rFonts w:ascii="Times New Roman" w:hAnsi="Times New Roman" w:cs="Times New Roman" w:hint="eastAsia"/>
                <w:bCs/>
                <w:color w:val="000000" w:themeColor="text1"/>
                <w:lang w:val="ro-MD"/>
              </w:rPr>
              <w:br/>
            </w:r>
            <w:r w:rsidRPr="004D6136">
              <w:rPr>
                <w:rFonts w:ascii="Times New Roman" w:hAnsi="Times New Roman" w:cs="Times New Roman"/>
                <w:bCs/>
                <w:noProof/>
                <w:color w:val="000000" w:themeColor="text1"/>
                <w:lang w:val="ro-MD"/>
              </w:rPr>
              <w:drawing>
                <wp:inline distT="0" distB="0" distL="0" distR="0" wp14:anchorId="21733809" wp14:editId="5C39638C">
                  <wp:extent cx="336550" cy="380365"/>
                  <wp:effectExtent l="0" t="0" r="6350" b="635"/>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550" cy="380365"/>
                          </a:xfrm>
                          <a:prstGeom prst="rect">
                            <a:avLst/>
                          </a:prstGeom>
                          <a:noFill/>
                          <a:ln>
                            <a:noFill/>
                          </a:ln>
                        </pic:spPr>
                      </pic:pic>
                    </a:graphicData>
                  </a:graphic>
                </wp:inline>
              </w:drawing>
            </w:r>
            <w:r w:rsidRPr="004D6136">
              <w:rPr>
                <w:rFonts w:ascii="Times New Roman" w:hAnsi="Times New Roman" w:cs="Times New Roman" w:hint="eastAsia"/>
                <w:bCs/>
                <w:color w:val="000000" w:themeColor="text1"/>
                <w:lang w:val="ro-MD"/>
              </w:rPr>
              <w:t xml:space="preserve"> este egal cu zero unde Ei este suma în numerar împrumutată unei </w:t>
            </w:r>
            <w:proofErr w:type="spellStart"/>
            <w:r w:rsidRPr="004D6136">
              <w:rPr>
                <w:rFonts w:ascii="Times New Roman" w:hAnsi="Times New Roman" w:cs="Times New Roman" w:hint="eastAsia"/>
                <w:bCs/>
                <w:color w:val="000000" w:themeColor="text1"/>
                <w:lang w:val="ro-MD"/>
              </w:rPr>
              <w:t>contrapărți</w:t>
            </w:r>
            <w:proofErr w:type="spellEnd"/>
            <w:r w:rsidRPr="004D6136">
              <w:rPr>
                <w:rFonts w:ascii="Times New Roman" w:hAnsi="Times New Roman" w:cs="Times New Roman" w:hint="eastAsia"/>
                <w:bCs/>
                <w:color w:val="000000" w:themeColor="text1"/>
                <w:lang w:val="ro-MD"/>
              </w:rPr>
              <w:t>, iar suma în numerar de primit aferentă nu este eligibilă pentru tratamentul de compensare prevăzut la articolul 429b alineatul (4).</w:t>
            </w:r>
          </w:p>
        </w:tc>
        <w:tc>
          <w:tcPr>
            <w:tcW w:w="1557" w:type="pct"/>
            <w:shd w:val="clear" w:color="auto" w:fill="auto"/>
          </w:tcPr>
          <w:p w14:paraId="789CC055" w14:textId="429B97DB" w:rsidR="00816196" w:rsidRPr="004D6136" w:rsidRDefault="00C7336D"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55</w:t>
            </w:r>
            <w:r w:rsidR="00816196" w:rsidRPr="004D6136">
              <w:rPr>
                <w:rFonts w:ascii="Times New Roman" w:hAnsi="Times New Roman" w:cs="Times New Roman"/>
                <w:bCs/>
                <w:color w:val="000000" w:themeColor="text1"/>
                <w:lang w:val="ro-MD"/>
              </w:rPr>
              <w:t>.</w:t>
            </w:r>
            <w:r w:rsidR="00816196" w:rsidRPr="004D6136">
              <w:rPr>
                <w:rFonts w:ascii="Times New Roman" w:hAnsi="Times New Roman" w:cs="Times New Roman" w:hint="eastAsia"/>
                <w:bCs/>
                <w:color w:val="000000" w:themeColor="text1"/>
                <w:lang w:val="ro-MD"/>
              </w:rPr>
              <w:t>   </w:t>
            </w:r>
            <w:r w:rsidR="00816196" w:rsidRPr="004D6136">
              <w:rPr>
                <w:rFonts w:ascii="Times New Roman" w:hAnsi="Times New Roman" w:cs="Times New Roman"/>
                <w:bCs/>
                <w:color w:val="000000" w:themeColor="text1"/>
                <w:lang w:val="ro-MD"/>
              </w:rPr>
              <w:t>Băncile</w:t>
            </w:r>
            <w:r w:rsidR="00816196" w:rsidRPr="004D6136">
              <w:rPr>
                <w:rFonts w:ascii="Times New Roman" w:hAnsi="Times New Roman" w:cs="Times New Roman" w:hint="eastAsia"/>
                <w:bCs/>
                <w:color w:val="000000" w:themeColor="text1"/>
                <w:lang w:val="ro-MD"/>
              </w:rPr>
              <w:t xml:space="preserve"> calculează majorarea pentru </w:t>
            </w:r>
            <w:r w:rsidR="00816196" w:rsidRPr="004D6136">
              <w:rPr>
                <w:rFonts w:ascii="Times New Roman" w:hAnsi="Times New Roman" w:cs="Times New Roman"/>
                <w:bCs/>
                <w:color w:val="000000" w:themeColor="text1"/>
                <w:lang w:val="ro-MD"/>
              </w:rPr>
              <w:t>t</w:t>
            </w:r>
            <w:r w:rsidR="00816196" w:rsidRPr="004D6136">
              <w:rPr>
                <w:rFonts w:ascii="Times New Roman" w:hAnsi="Times New Roman" w:cs="Times New Roman" w:hint="eastAsia"/>
                <w:bCs/>
                <w:color w:val="000000" w:themeColor="text1"/>
                <w:lang w:val="ro-MD"/>
              </w:rPr>
              <w:t xml:space="preserve">ranzacțiile cu o </w:t>
            </w:r>
            <w:proofErr w:type="spellStart"/>
            <w:r w:rsidR="00816196" w:rsidRPr="004D6136">
              <w:rPr>
                <w:rFonts w:ascii="Times New Roman" w:hAnsi="Times New Roman" w:cs="Times New Roman" w:hint="eastAsia"/>
                <w:bCs/>
                <w:color w:val="000000" w:themeColor="text1"/>
                <w:lang w:val="ro-MD"/>
              </w:rPr>
              <w:t>contraparte</w:t>
            </w:r>
            <w:proofErr w:type="spellEnd"/>
            <w:r w:rsidR="00816196" w:rsidRPr="004D6136">
              <w:rPr>
                <w:rFonts w:ascii="Times New Roman" w:hAnsi="Times New Roman" w:cs="Times New Roman" w:hint="eastAsia"/>
                <w:bCs/>
                <w:color w:val="000000" w:themeColor="text1"/>
                <w:lang w:val="ro-MD"/>
              </w:rPr>
              <w:t xml:space="preserve"> care nu fac obiectul unui acord-cadru de compensare ce îndeplinește condițiile prevăzute la </w:t>
            </w:r>
            <w:r w:rsidR="00816196" w:rsidRPr="004D6136">
              <w:rPr>
                <w:rFonts w:ascii="Times New Roman" w:hAnsi="Times New Roman" w:cs="Times New Roman"/>
                <w:bCs/>
                <w:color w:val="000000" w:themeColor="text1"/>
                <w:lang w:val="ro-MD"/>
              </w:rPr>
              <w:t>pct.43 din Regulamentul nr.112/2018,</w:t>
            </w:r>
            <w:r w:rsidR="00816196" w:rsidRPr="004D6136">
              <w:rPr>
                <w:rFonts w:ascii="Times New Roman" w:hAnsi="Times New Roman" w:cs="Times New Roman" w:hint="eastAsia"/>
                <w:bCs/>
                <w:color w:val="000000" w:themeColor="text1"/>
                <w:lang w:val="ro-MD"/>
              </w:rPr>
              <w:t xml:space="preserve"> pentru fiecare tranzacție în parte, în conformitate cu următoarea formulă:</w:t>
            </w:r>
          </w:p>
          <w:p w14:paraId="308B6960" w14:textId="77777777" w:rsidR="00816196" w:rsidRPr="004D6136" w:rsidRDefault="00816196" w:rsidP="00816196">
            <w:pPr>
              <w:shd w:val="clear" w:color="auto" w:fill="FFFFFF"/>
              <w:spacing w:after="0" w:line="312" w:lineRule="atLeast"/>
              <w:jc w:val="center"/>
              <w:rPr>
                <w:rFonts w:ascii="Times New Roman" w:hAnsi="Times New Roman" w:cs="Times New Roman"/>
                <w:bCs/>
                <w:color w:val="000000" w:themeColor="text1"/>
                <w:lang w:val="ro-MD"/>
              </w:rPr>
            </w:pPr>
            <w:r w:rsidRPr="004D6136">
              <w:rPr>
                <w:rFonts w:ascii="Times New Roman" w:hAnsi="Times New Roman" w:cs="Times New Roman"/>
                <w:bCs/>
                <w:noProof/>
                <w:color w:val="000000" w:themeColor="text1"/>
                <w:lang w:val="ro-MD"/>
              </w:rPr>
              <w:drawing>
                <wp:inline distT="0" distB="0" distL="0" distR="0" wp14:anchorId="4A888216" wp14:editId="71F350D8">
                  <wp:extent cx="2231390" cy="380365"/>
                  <wp:effectExtent l="0" t="0" r="0" b="635"/>
                  <wp:docPr id="14" name="Picture 1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1390" cy="380365"/>
                          </a:xfrm>
                          <a:prstGeom prst="rect">
                            <a:avLst/>
                          </a:prstGeom>
                          <a:noFill/>
                          <a:ln>
                            <a:noFill/>
                          </a:ln>
                        </pic:spPr>
                      </pic:pic>
                    </a:graphicData>
                  </a:graphic>
                </wp:inline>
              </w:drawing>
            </w:r>
          </w:p>
          <w:p w14:paraId="6F566250" w14:textId="77777777" w:rsidR="00816196" w:rsidRPr="004D6136" w:rsidRDefault="00816196" w:rsidP="00816196">
            <w:pPr>
              <w:shd w:val="clear" w:color="auto" w:fill="FFFFFF"/>
              <w:spacing w:before="120" w:after="0" w:line="312" w:lineRule="atLeast"/>
              <w:jc w:val="both"/>
              <w:rPr>
                <w:rFonts w:ascii="Times New Roman" w:hAnsi="Times New Roman" w:cs="Times New Roman"/>
                <w:bCs/>
                <w:color w:val="000000" w:themeColor="text1"/>
                <w:lang w:val="ro-MD"/>
              </w:rPr>
            </w:pPr>
            <w:r w:rsidRPr="004D6136">
              <w:rPr>
                <w:rFonts w:ascii="Times New Roman" w:hAnsi="Times New Roman" w:cs="Times New Roman" w:hint="eastAsia"/>
                <w:bCs/>
                <w:color w:val="000000" w:themeColor="text1"/>
                <w:lang w:val="ro-MD"/>
              </w:rPr>
              <w:t>unde:</w:t>
            </w:r>
          </w:p>
          <w:tbl>
            <w:tblPr>
              <w:tblW w:w="5000" w:type="pct"/>
              <w:tblLayout w:type="fixed"/>
              <w:tblCellMar>
                <w:left w:w="0" w:type="dxa"/>
                <w:right w:w="0" w:type="dxa"/>
              </w:tblCellMar>
              <w:tblLook w:val="04A0" w:firstRow="1" w:lastRow="0" w:firstColumn="1" w:lastColumn="0" w:noHBand="0" w:noVBand="1"/>
            </w:tblPr>
            <w:tblGrid>
              <w:gridCol w:w="1458"/>
              <w:gridCol w:w="386"/>
              <w:gridCol w:w="2842"/>
            </w:tblGrid>
            <w:tr w:rsidR="00816196" w:rsidRPr="004D6136" w14:paraId="131E44FD" w14:textId="77777777" w:rsidTr="00B35473">
              <w:tc>
                <w:tcPr>
                  <w:tcW w:w="3015" w:type="dxa"/>
                  <w:shd w:val="clear" w:color="auto" w:fill="auto"/>
                  <w:hideMark/>
                </w:tcPr>
                <w:p w14:paraId="60067A1E" w14:textId="77777777" w:rsidR="00816196" w:rsidRPr="004D6136" w:rsidRDefault="00816196" w:rsidP="00816196">
                  <w:pPr>
                    <w:spacing w:after="0" w:line="312" w:lineRule="atLeast"/>
                    <w:jc w:val="center"/>
                    <w:rPr>
                      <w:rFonts w:ascii="Times New Roman" w:hAnsi="Times New Roman" w:cs="Times New Roman"/>
                      <w:bCs/>
                      <w:color w:val="000000" w:themeColor="text1"/>
                      <w:lang w:val="ro-MD"/>
                    </w:rPr>
                  </w:pPr>
                  <w:r w:rsidRPr="004D6136">
                    <w:rPr>
                      <w:rFonts w:ascii="Times New Roman" w:hAnsi="Times New Roman" w:cs="Times New Roman"/>
                      <w:bCs/>
                      <w:noProof/>
                      <w:color w:val="000000" w:themeColor="text1"/>
                      <w:lang w:val="ro-MD"/>
                    </w:rPr>
                    <w:drawing>
                      <wp:inline distT="0" distB="0" distL="0" distR="0" wp14:anchorId="1E7159EB" wp14:editId="7D935220">
                        <wp:extent cx="336550" cy="380365"/>
                        <wp:effectExtent l="0" t="0" r="6350" b="635"/>
                        <wp:docPr id="15" name="Picture 1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550" cy="380365"/>
                                </a:xfrm>
                                <a:prstGeom prst="rect">
                                  <a:avLst/>
                                </a:prstGeom>
                                <a:noFill/>
                                <a:ln>
                                  <a:noFill/>
                                </a:ln>
                              </pic:spPr>
                            </pic:pic>
                          </a:graphicData>
                        </a:graphic>
                      </wp:inline>
                    </w:drawing>
                  </w:r>
                </w:p>
              </w:tc>
              <w:tc>
                <w:tcPr>
                  <w:tcW w:w="781" w:type="dxa"/>
                  <w:shd w:val="clear" w:color="auto" w:fill="auto"/>
                  <w:hideMark/>
                </w:tcPr>
                <w:p w14:paraId="7387AFD4" w14:textId="77777777" w:rsidR="00816196" w:rsidRPr="004D6136" w:rsidRDefault="00816196" w:rsidP="00816196">
                  <w:pPr>
                    <w:spacing w:before="120" w:after="0" w:line="312" w:lineRule="atLeast"/>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w:t>
                  </w:r>
                </w:p>
              </w:tc>
              <w:tc>
                <w:tcPr>
                  <w:tcW w:w="5893" w:type="dxa"/>
                  <w:shd w:val="clear" w:color="auto" w:fill="auto"/>
                  <w:hideMark/>
                </w:tcPr>
                <w:p w14:paraId="37715D8A" w14:textId="77777777" w:rsidR="00816196" w:rsidRPr="004D6136" w:rsidRDefault="00816196" w:rsidP="00816196">
                  <w:pPr>
                    <w:spacing w:before="120" w:after="0" w:line="312" w:lineRule="atLeast"/>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majorarea;</w:t>
                  </w:r>
                </w:p>
              </w:tc>
            </w:tr>
          </w:tbl>
          <w:p w14:paraId="0B4946D3" w14:textId="77777777" w:rsidR="00816196" w:rsidRPr="004D6136" w:rsidRDefault="00816196" w:rsidP="00816196">
            <w:pPr>
              <w:shd w:val="clear" w:color="auto" w:fill="FFFFFF"/>
              <w:spacing w:after="0" w:line="240" w:lineRule="auto"/>
              <w:rPr>
                <w:rFonts w:ascii="Times New Roman" w:hAnsi="Times New Roman" w:cs="Times New Roman"/>
                <w:bCs/>
                <w:color w:val="000000" w:themeColor="text1"/>
                <w:lang w:val="ro-MD"/>
              </w:rPr>
            </w:pPr>
          </w:p>
          <w:tbl>
            <w:tblPr>
              <w:tblW w:w="4812" w:type="dxa"/>
              <w:tblInd w:w="35" w:type="dxa"/>
              <w:tblLayout w:type="fixed"/>
              <w:tblCellMar>
                <w:left w:w="0" w:type="dxa"/>
                <w:right w:w="0" w:type="dxa"/>
              </w:tblCellMar>
              <w:tblLook w:val="04A0" w:firstRow="1" w:lastRow="0" w:firstColumn="1" w:lastColumn="0" w:noHBand="0" w:noVBand="1"/>
            </w:tblPr>
            <w:tblGrid>
              <w:gridCol w:w="96"/>
              <w:gridCol w:w="186"/>
              <w:gridCol w:w="4530"/>
            </w:tblGrid>
            <w:tr w:rsidR="00816196" w:rsidRPr="004D6136" w14:paraId="5637F67E" w14:textId="77777777" w:rsidTr="00B35473">
              <w:tc>
                <w:tcPr>
                  <w:tcW w:w="96" w:type="dxa"/>
                  <w:shd w:val="clear" w:color="auto" w:fill="auto"/>
                  <w:hideMark/>
                </w:tcPr>
                <w:p w14:paraId="152EC6E0" w14:textId="77777777" w:rsidR="00816196" w:rsidRPr="004D6136" w:rsidRDefault="00816196" w:rsidP="00816196">
                  <w:pPr>
                    <w:spacing w:before="120" w:after="0" w:line="312" w:lineRule="atLeast"/>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i</w:t>
                  </w:r>
                </w:p>
              </w:tc>
              <w:tc>
                <w:tcPr>
                  <w:tcW w:w="186" w:type="dxa"/>
                  <w:shd w:val="clear" w:color="auto" w:fill="auto"/>
                  <w:hideMark/>
                </w:tcPr>
                <w:p w14:paraId="3E903805" w14:textId="77777777" w:rsidR="00816196" w:rsidRPr="004D6136" w:rsidRDefault="00816196" w:rsidP="00816196">
                  <w:pPr>
                    <w:spacing w:before="120" w:after="0" w:line="312" w:lineRule="atLeast"/>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w:t>
                  </w:r>
                </w:p>
              </w:tc>
              <w:tc>
                <w:tcPr>
                  <w:tcW w:w="4530" w:type="dxa"/>
                  <w:shd w:val="clear" w:color="auto" w:fill="auto"/>
                  <w:hideMark/>
                </w:tcPr>
                <w:p w14:paraId="3DC1FDF2" w14:textId="77777777" w:rsidR="00816196" w:rsidRPr="004D6136" w:rsidRDefault="00816196" w:rsidP="00816196">
                  <w:pPr>
                    <w:spacing w:before="120" w:after="0" w:line="312" w:lineRule="atLeast"/>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indicele care desemnează tranzacția;</w:t>
                  </w:r>
                </w:p>
              </w:tc>
            </w:tr>
          </w:tbl>
          <w:p w14:paraId="3BF827D9" w14:textId="77777777" w:rsidR="00816196" w:rsidRPr="004D6136" w:rsidRDefault="00816196" w:rsidP="00816196">
            <w:pPr>
              <w:shd w:val="clear" w:color="auto" w:fill="FFFFFF"/>
              <w:spacing w:after="0" w:line="240" w:lineRule="auto"/>
              <w:rPr>
                <w:rFonts w:ascii="Times New Roman" w:hAnsi="Times New Roman" w:cs="Times New Roman"/>
                <w:bCs/>
                <w:color w:val="000000" w:themeColor="text1"/>
                <w:lang w:val="ro-MD"/>
              </w:rPr>
            </w:pPr>
          </w:p>
          <w:tbl>
            <w:tblPr>
              <w:tblW w:w="5033" w:type="dxa"/>
              <w:tblLayout w:type="fixed"/>
              <w:tblCellMar>
                <w:left w:w="0" w:type="dxa"/>
                <w:right w:w="0" w:type="dxa"/>
              </w:tblCellMar>
              <w:tblLook w:val="04A0" w:firstRow="1" w:lastRow="0" w:firstColumn="1" w:lastColumn="0" w:noHBand="0" w:noVBand="1"/>
            </w:tblPr>
            <w:tblGrid>
              <w:gridCol w:w="319"/>
              <w:gridCol w:w="77"/>
              <w:gridCol w:w="4637"/>
            </w:tblGrid>
            <w:tr w:rsidR="00816196" w:rsidRPr="004D6136" w14:paraId="0DAF3AFC" w14:textId="77777777" w:rsidTr="00B35473">
              <w:tc>
                <w:tcPr>
                  <w:tcW w:w="319" w:type="dxa"/>
                  <w:shd w:val="clear" w:color="auto" w:fill="auto"/>
                  <w:hideMark/>
                </w:tcPr>
                <w:p w14:paraId="3A1D9523" w14:textId="77777777" w:rsidR="00816196" w:rsidRPr="004D6136" w:rsidRDefault="00816196" w:rsidP="00816196">
                  <w:pPr>
                    <w:spacing w:before="120" w:after="0" w:line="312" w:lineRule="atLeast"/>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Ei</w:t>
                  </w:r>
                </w:p>
              </w:tc>
              <w:tc>
                <w:tcPr>
                  <w:tcW w:w="77" w:type="dxa"/>
                  <w:shd w:val="clear" w:color="auto" w:fill="auto"/>
                  <w:hideMark/>
                </w:tcPr>
                <w:p w14:paraId="1BEF295F" w14:textId="77777777" w:rsidR="00816196" w:rsidRPr="004D6136" w:rsidRDefault="00816196" w:rsidP="00816196">
                  <w:pPr>
                    <w:spacing w:before="120" w:after="0" w:line="312" w:lineRule="atLeast"/>
                    <w:ind w:left="-138" w:firstLine="69"/>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w:t>
                  </w:r>
                </w:p>
              </w:tc>
              <w:tc>
                <w:tcPr>
                  <w:tcW w:w="4637" w:type="dxa"/>
                  <w:shd w:val="clear" w:color="auto" w:fill="auto"/>
                  <w:hideMark/>
                </w:tcPr>
                <w:p w14:paraId="4112EA31" w14:textId="77777777" w:rsidR="00816196" w:rsidRPr="004D6136" w:rsidRDefault="00816196" w:rsidP="00816196">
                  <w:pPr>
                    <w:spacing w:before="120" w:after="0" w:line="312" w:lineRule="atLeast"/>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valoarea justă a titlurilor de valoare sau a sumelor în numerar împrumutate </w:t>
                  </w:r>
                  <w:proofErr w:type="spellStart"/>
                  <w:r w:rsidRPr="004D6136">
                    <w:rPr>
                      <w:rFonts w:ascii="Times New Roman" w:hAnsi="Times New Roman" w:cs="Times New Roman"/>
                      <w:bCs/>
                      <w:color w:val="000000" w:themeColor="text1"/>
                      <w:lang w:val="ro-MD"/>
                    </w:rPr>
                    <w:t>contrapărții</w:t>
                  </w:r>
                  <w:proofErr w:type="spellEnd"/>
                  <w:r w:rsidRPr="004D6136">
                    <w:rPr>
                      <w:rFonts w:ascii="Times New Roman" w:hAnsi="Times New Roman" w:cs="Times New Roman"/>
                      <w:bCs/>
                      <w:color w:val="000000" w:themeColor="text1"/>
                      <w:lang w:val="ro-MD"/>
                    </w:rPr>
                    <w:t xml:space="preserve"> în cadrul tranzacției „i”; și</w:t>
                  </w:r>
                </w:p>
              </w:tc>
            </w:tr>
          </w:tbl>
          <w:p w14:paraId="16769F94" w14:textId="77777777" w:rsidR="00816196" w:rsidRPr="004D6136" w:rsidRDefault="00816196" w:rsidP="00816196">
            <w:pPr>
              <w:shd w:val="clear" w:color="auto" w:fill="FFFFFF"/>
              <w:spacing w:after="0" w:line="240" w:lineRule="auto"/>
              <w:rPr>
                <w:rFonts w:ascii="Times New Roman" w:hAnsi="Times New Roman" w:cs="Times New Roman"/>
                <w:bCs/>
                <w:color w:val="000000" w:themeColor="text1"/>
                <w:lang w:val="ro-MD"/>
              </w:rPr>
            </w:pPr>
          </w:p>
          <w:tbl>
            <w:tblPr>
              <w:tblW w:w="4714" w:type="dxa"/>
              <w:tblLayout w:type="fixed"/>
              <w:tblCellMar>
                <w:left w:w="0" w:type="dxa"/>
                <w:right w:w="0" w:type="dxa"/>
              </w:tblCellMar>
              <w:tblLook w:val="04A0" w:firstRow="1" w:lastRow="0" w:firstColumn="1" w:lastColumn="0" w:noHBand="0" w:noVBand="1"/>
            </w:tblPr>
            <w:tblGrid>
              <w:gridCol w:w="461"/>
              <w:gridCol w:w="77"/>
              <w:gridCol w:w="4176"/>
            </w:tblGrid>
            <w:tr w:rsidR="00816196" w:rsidRPr="004D6136" w14:paraId="2718D0BE" w14:textId="77777777" w:rsidTr="00B35473">
              <w:tc>
                <w:tcPr>
                  <w:tcW w:w="461" w:type="dxa"/>
                  <w:shd w:val="clear" w:color="auto" w:fill="auto"/>
                  <w:hideMark/>
                </w:tcPr>
                <w:p w14:paraId="5FD4B5EC" w14:textId="77777777" w:rsidR="00816196" w:rsidRPr="004D6136" w:rsidRDefault="00816196" w:rsidP="00816196">
                  <w:pPr>
                    <w:spacing w:before="120" w:after="0" w:line="312" w:lineRule="atLeast"/>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Ci</w:t>
                  </w:r>
                </w:p>
              </w:tc>
              <w:tc>
                <w:tcPr>
                  <w:tcW w:w="77" w:type="dxa"/>
                  <w:shd w:val="clear" w:color="auto" w:fill="auto"/>
                  <w:hideMark/>
                </w:tcPr>
                <w:p w14:paraId="7E5411AC" w14:textId="77777777" w:rsidR="00816196" w:rsidRPr="004D6136" w:rsidRDefault="00816196" w:rsidP="00816196">
                  <w:pPr>
                    <w:spacing w:before="120" w:after="0" w:line="312" w:lineRule="atLeast"/>
                    <w:ind w:firstLine="73"/>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w:t>
                  </w:r>
                </w:p>
              </w:tc>
              <w:tc>
                <w:tcPr>
                  <w:tcW w:w="4176" w:type="dxa"/>
                  <w:shd w:val="clear" w:color="auto" w:fill="auto"/>
                  <w:hideMark/>
                </w:tcPr>
                <w:p w14:paraId="7A36E5BF" w14:textId="77777777" w:rsidR="00816196" w:rsidRPr="004D6136" w:rsidRDefault="00816196" w:rsidP="00816196">
                  <w:pPr>
                    <w:spacing w:before="120" w:after="0" w:line="312" w:lineRule="atLeast"/>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valoarea justă a titlurilor de valoare sau a sumelor în numerar primite de la </w:t>
                  </w:r>
                  <w:proofErr w:type="spellStart"/>
                  <w:r w:rsidRPr="004D6136">
                    <w:rPr>
                      <w:rFonts w:ascii="Times New Roman" w:hAnsi="Times New Roman" w:cs="Times New Roman"/>
                      <w:bCs/>
                      <w:color w:val="000000" w:themeColor="text1"/>
                      <w:lang w:val="ro-MD"/>
                    </w:rPr>
                    <w:t>contraparte</w:t>
                  </w:r>
                  <w:proofErr w:type="spellEnd"/>
                  <w:r w:rsidRPr="004D6136">
                    <w:rPr>
                      <w:rFonts w:ascii="Times New Roman" w:hAnsi="Times New Roman" w:cs="Times New Roman"/>
                      <w:bCs/>
                      <w:color w:val="000000" w:themeColor="text1"/>
                      <w:lang w:val="ro-MD"/>
                    </w:rPr>
                    <w:t xml:space="preserve"> în cadrul tranzacției „i”.</w:t>
                  </w:r>
                </w:p>
              </w:tc>
            </w:tr>
          </w:tbl>
          <w:p w14:paraId="4B0C1ABF" w14:textId="1B76DABD" w:rsidR="00816196" w:rsidRPr="004D6136" w:rsidRDefault="00816196" w:rsidP="00816196">
            <w:pPr>
              <w:spacing w:after="0" w:line="276" w:lineRule="auto"/>
              <w:jc w:val="both"/>
              <w:rPr>
                <w:rFonts w:ascii="Times New Roman" w:hAnsi="Times New Roman" w:cs="Times New Roman"/>
                <w:bCs/>
                <w:color w:val="000000" w:themeColor="text1"/>
                <w:lang w:val="ro-MD"/>
              </w:rPr>
            </w:pPr>
            <w:r w:rsidRPr="004D6136">
              <w:rPr>
                <w:rFonts w:ascii="Times New Roman" w:hAnsi="Times New Roman" w:cs="Times New Roman" w:hint="eastAsia"/>
                <w:bCs/>
                <w:color w:val="000000" w:themeColor="text1"/>
                <w:lang w:val="ro-MD"/>
              </w:rPr>
              <w:t>Instituțiile pot stabili că</w:t>
            </w:r>
            <w:r w:rsidRPr="004D6136">
              <w:rPr>
                <w:rFonts w:ascii="Times New Roman" w:hAnsi="Times New Roman" w:cs="Times New Roman" w:hint="eastAsia"/>
                <w:bCs/>
                <w:color w:val="000000" w:themeColor="text1"/>
                <w:lang w:val="ro-MD"/>
              </w:rPr>
              <w:br/>
            </w:r>
            <w:r w:rsidRPr="004D6136">
              <w:rPr>
                <w:rFonts w:ascii="Times New Roman" w:hAnsi="Times New Roman" w:cs="Times New Roman"/>
                <w:bCs/>
                <w:noProof/>
                <w:color w:val="000000" w:themeColor="text1"/>
                <w:lang w:val="ro-MD"/>
              </w:rPr>
              <w:drawing>
                <wp:inline distT="0" distB="0" distL="0" distR="0" wp14:anchorId="17C299F3" wp14:editId="1F98D0BA">
                  <wp:extent cx="336550" cy="380365"/>
                  <wp:effectExtent l="0" t="0" r="6350" b="635"/>
                  <wp:docPr id="16" name="Picture 1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550" cy="380365"/>
                          </a:xfrm>
                          <a:prstGeom prst="rect">
                            <a:avLst/>
                          </a:prstGeom>
                          <a:noFill/>
                          <a:ln>
                            <a:noFill/>
                          </a:ln>
                        </pic:spPr>
                      </pic:pic>
                    </a:graphicData>
                  </a:graphic>
                </wp:inline>
              </w:drawing>
            </w:r>
            <w:r w:rsidRPr="004D6136">
              <w:rPr>
                <w:rFonts w:ascii="Times New Roman" w:hAnsi="Times New Roman" w:cs="Times New Roman" w:hint="eastAsia"/>
                <w:bCs/>
                <w:color w:val="000000" w:themeColor="text1"/>
                <w:lang w:val="ro-MD"/>
              </w:rPr>
              <w:t xml:space="preserve"> este egal cu zero unde Ei este suma în numerar împrumutată unei </w:t>
            </w:r>
            <w:proofErr w:type="spellStart"/>
            <w:r w:rsidRPr="004D6136">
              <w:rPr>
                <w:rFonts w:ascii="Times New Roman" w:hAnsi="Times New Roman" w:cs="Times New Roman" w:hint="eastAsia"/>
                <w:bCs/>
                <w:color w:val="000000" w:themeColor="text1"/>
                <w:lang w:val="ro-MD"/>
              </w:rPr>
              <w:t>contrapărți</w:t>
            </w:r>
            <w:proofErr w:type="spellEnd"/>
            <w:r w:rsidRPr="004D6136">
              <w:rPr>
                <w:rFonts w:ascii="Times New Roman" w:hAnsi="Times New Roman" w:cs="Times New Roman" w:hint="eastAsia"/>
                <w:bCs/>
                <w:color w:val="000000" w:themeColor="text1"/>
                <w:lang w:val="ro-MD"/>
              </w:rPr>
              <w:t xml:space="preserve">, iar suma în numerar de primit aferentă nu este eligibilă pentru tratamentul de compensare prevăzut la </w:t>
            </w:r>
            <w:r w:rsidRPr="004D6136">
              <w:rPr>
                <w:rFonts w:ascii="Times New Roman" w:hAnsi="Times New Roman" w:cs="Times New Roman"/>
                <w:bCs/>
                <w:color w:val="000000" w:themeColor="text1"/>
                <w:lang w:val="ro-MD"/>
              </w:rPr>
              <w:t>pct.</w:t>
            </w:r>
            <w:r w:rsidR="000E4858" w:rsidRPr="004D6136">
              <w:rPr>
                <w:rFonts w:ascii="Times New Roman" w:hAnsi="Times New Roman" w:cs="Times New Roman"/>
                <w:bCs/>
                <w:color w:val="000000" w:themeColor="text1"/>
                <w:lang w:val="ro-MD"/>
              </w:rPr>
              <w:t>2</w:t>
            </w:r>
            <w:r w:rsidR="001A47C7" w:rsidRPr="004D6136">
              <w:rPr>
                <w:rFonts w:ascii="Times New Roman" w:hAnsi="Times New Roman" w:cs="Times New Roman"/>
                <w:bCs/>
                <w:color w:val="000000" w:themeColor="text1"/>
                <w:lang w:val="ro-MD"/>
              </w:rPr>
              <w:t>8</w:t>
            </w:r>
            <w:r w:rsidRPr="004D6136">
              <w:rPr>
                <w:rFonts w:ascii="Times New Roman" w:hAnsi="Times New Roman" w:cs="Times New Roman" w:hint="eastAsia"/>
                <w:bCs/>
                <w:color w:val="000000" w:themeColor="text1"/>
                <w:lang w:val="ro-MD"/>
              </w:rPr>
              <w:t>.</w:t>
            </w:r>
          </w:p>
        </w:tc>
        <w:tc>
          <w:tcPr>
            <w:tcW w:w="585" w:type="pct"/>
          </w:tcPr>
          <w:p w14:paraId="2A6AFEB5" w14:textId="7D86ADF9" w:rsidR="00816196" w:rsidRPr="004D6136" w:rsidRDefault="00AA3BD3" w:rsidP="00816196">
            <w:pPr>
              <w:spacing w:line="276" w:lineRule="auto"/>
              <w:jc w:val="both"/>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compatibil</w:t>
            </w:r>
          </w:p>
        </w:tc>
        <w:tc>
          <w:tcPr>
            <w:tcW w:w="1261" w:type="pct"/>
          </w:tcPr>
          <w:p w14:paraId="65BA401E" w14:textId="77777777" w:rsidR="00816196" w:rsidRPr="004D6136" w:rsidRDefault="00816196" w:rsidP="00816196">
            <w:pPr>
              <w:spacing w:line="276" w:lineRule="auto"/>
              <w:jc w:val="both"/>
              <w:rPr>
                <w:rFonts w:ascii="Times New Roman" w:hAnsi="Times New Roman" w:cs="Times New Roman"/>
                <w:bCs/>
                <w:color w:val="000000" w:themeColor="text1"/>
                <w:lang w:val="ro-MD"/>
              </w:rPr>
            </w:pPr>
          </w:p>
        </w:tc>
      </w:tr>
      <w:tr w:rsidR="00816196" w:rsidRPr="004D6136" w14:paraId="6C6057F7" w14:textId="77777777" w:rsidTr="00E42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4756E5B7" w14:textId="70D40430" w:rsidR="00816196" w:rsidRPr="004D6136" w:rsidRDefault="00816196" w:rsidP="00816196">
            <w:pPr>
              <w:shd w:val="clear" w:color="auto" w:fill="FFFFFF"/>
              <w:spacing w:before="120" w:after="0" w:line="312" w:lineRule="atLeast"/>
              <w:rPr>
                <w:rFonts w:ascii="Times New Roman" w:hAnsi="Times New Roman" w:cs="Times New Roman"/>
                <w:bCs/>
                <w:color w:val="000000" w:themeColor="text1"/>
                <w:lang w:val="ro-MD"/>
              </w:rPr>
            </w:pPr>
            <w:r w:rsidRPr="004D6136">
              <w:rPr>
                <w:rFonts w:ascii="Times New Roman" w:hAnsi="Times New Roman" w:cs="Times New Roman" w:hint="eastAsia"/>
                <w:bCs/>
                <w:color w:val="000000" w:themeColor="text1"/>
                <w:lang w:val="ro-MD"/>
              </w:rPr>
              <w:t xml:space="preserve">(3)   Instituțiile calculează majorarea pentru tranzacțiile cu o </w:t>
            </w:r>
            <w:proofErr w:type="spellStart"/>
            <w:r w:rsidRPr="004D6136">
              <w:rPr>
                <w:rFonts w:ascii="Times New Roman" w:hAnsi="Times New Roman" w:cs="Times New Roman" w:hint="eastAsia"/>
                <w:bCs/>
                <w:color w:val="000000" w:themeColor="text1"/>
                <w:lang w:val="ro-MD"/>
              </w:rPr>
              <w:t>contraparte</w:t>
            </w:r>
            <w:proofErr w:type="spellEnd"/>
            <w:r w:rsidRPr="004D6136">
              <w:rPr>
                <w:rFonts w:ascii="Times New Roman" w:hAnsi="Times New Roman" w:cs="Times New Roman" w:hint="eastAsia"/>
                <w:bCs/>
                <w:color w:val="000000" w:themeColor="text1"/>
                <w:lang w:val="ro-MD"/>
              </w:rPr>
              <w:t xml:space="preserve"> care fac obiectul unui acord-cadru de compensare ce îndeplinește condițiile prevăzute la articolul 206, pentru fiecare acord în parte, în conformitate cu următoarea formulă:</w:t>
            </w:r>
          </w:p>
          <w:p w14:paraId="6BB7670F" w14:textId="77777777" w:rsidR="00816196" w:rsidRPr="004D6136" w:rsidRDefault="00816196" w:rsidP="00816196">
            <w:pPr>
              <w:shd w:val="clear" w:color="auto" w:fill="FFFFFF"/>
              <w:spacing w:before="120" w:after="0" w:line="312" w:lineRule="atLeast"/>
              <w:rPr>
                <w:rFonts w:ascii="Times New Roman" w:hAnsi="Times New Roman" w:cs="Times New Roman"/>
                <w:bCs/>
                <w:color w:val="000000" w:themeColor="text1"/>
                <w:lang w:val="ro-MD"/>
              </w:rPr>
            </w:pPr>
            <w:r w:rsidRPr="004D6136">
              <w:rPr>
                <w:rFonts w:ascii="Times New Roman" w:hAnsi="Times New Roman" w:cs="Times New Roman"/>
                <w:bCs/>
                <w:noProof/>
                <w:color w:val="000000" w:themeColor="text1"/>
                <w:lang w:val="ro-MD"/>
              </w:rPr>
              <w:drawing>
                <wp:inline distT="0" distB="0" distL="0" distR="0" wp14:anchorId="586D2A1D" wp14:editId="6EF58D2C">
                  <wp:extent cx="3181985" cy="782955"/>
                  <wp:effectExtent l="0" t="0" r="0" b="0"/>
                  <wp:docPr id="8" name="Pictur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81985" cy="782955"/>
                          </a:xfrm>
                          <a:prstGeom prst="rect">
                            <a:avLst/>
                          </a:prstGeom>
                          <a:noFill/>
                          <a:ln>
                            <a:noFill/>
                          </a:ln>
                        </pic:spPr>
                      </pic:pic>
                    </a:graphicData>
                  </a:graphic>
                </wp:inline>
              </w:drawing>
            </w:r>
          </w:p>
          <w:p w14:paraId="75F99286" w14:textId="77777777" w:rsidR="00816196" w:rsidRPr="004D6136" w:rsidRDefault="00816196" w:rsidP="00816196">
            <w:pPr>
              <w:shd w:val="clear" w:color="auto" w:fill="FFFFFF"/>
              <w:spacing w:before="120" w:after="0" w:line="312" w:lineRule="atLeast"/>
              <w:rPr>
                <w:rFonts w:ascii="Times New Roman" w:hAnsi="Times New Roman" w:cs="Times New Roman"/>
                <w:bCs/>
                <w:color w:val="000000" w:themeColor="text1"/>
                <w:lang w:val="ro-MD"/>
              </w:rPr>
            </w:pPr>
            <w:r w:rsidRPr="004D6136">
              <w:rPr>
                <w:rFonts w:ascii="Times New Roman" w:hAnsi="Times New Roman" w:cs="Times New Roman" w:hint="eastAsia"/>
                <w:bCs/>
                <w:color w:val="000000" w:themeColor="text1"/>
                <w:lang w:val="ro-MD"/>
              </w:rPr>
              <w:lastRenderedPageBreak/>
              <w:t>unde:</w:t>
            </w:r>
          </w:p>
          <w:tbl>
            <w:tblPr>
              <w:tblW w:w="5000" w:type="pct"/>
              <w:tblLayout w:type="fixed"/>
              <w:tblCellMar>
                <w:left w:w="0" w:type="dxa"/>
                <w:right w:w="0" w:type="dxa"/>
              </w:tblCellMar>
              <w:tblLook w:val="04A0" w:firstRow="1" w:lastRow="0" w:firstColumn="1" w:lastColumn="0" w:noHBand="0" w:noVBand="1"/>
            </w:tblPr>
            <w:tblGrid>
              <w:gridCol w:w="1498"/>
              <w:gridCol w:w="396"/>
              <w:gridCol w:w="2918"/>
            </w:tblGrid>
            <w:tr w:rsidR="00816196" w:rsidRPr="004D6136" w14:paraId="5075BE51" w14:textId="77777777" w:rsidTr="00CB614B">
              <w:tc>
                <w:tcPr>
                  <w:tcW w:w="3015" w:type="dxa"/>
                  <w:shd w:val="clear" w:color="auto" w:fill="auto"/>
                  <w:hideMark/>
                </w:tcPr>
                <w:p w14:paraId="02770410" w14:textId="77777777" w:rsidR="00816196" w:rsidRPr="004D6136" w:rsidRDefault="00816196" w:rsidP="00816196">
                  <w:pPr>
                    <w:shd w:val="clear" w:color="auto" w:fill="FFFFFF"/>
                    <w:spacing w:before="120" w:after="0" w:line="312" w:lineRule="atLeast"/>
                    <w:rPr>
                      <w:rFonts w:ascii="Times New Roman" w:hAnsi="Times New Roman" w:cs="Times New Roman"/>
                      <w:bCs/>
                      <w:color w:val="000000" w:themeColor="text1"/>
                      <w:lang w:val="ro-MD"/>
                    </w:rPr>
                  </w:pPr>
                  <w:r w:rsidRPr="004D6136">
                    <w:rPr>
                      <w:rFonts w:ascii="Times New Roman" w:hAnsi="Times New Roman" w:cs="Times New Roman"/>
                      <w:bCs/>
                      <w:noProof/>
                      <w:color w:val="000000" w:themeColor="text1"/>
                      <w:lang w:val="ro-MD"/>
                    </w:rPr>
                    <w:drawing>
                      <wp:inline distT="0" distB="0" distL="0" distR="0" wp14:anchorId="5D35CDBD" wp14:editId="7422B621">
                        <wp:extent cx="336550" cy="380365"/>
                        <wp:effectExtent l="0" t="0" r="6350" b="635"/>
                        <wp:docPr id="9" name="Picture 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550" cy="380365"/>
                                </a:xfrm>
                                <a:prstGeom prst="rect">
                                  <a:avLst/>
                                </a:prstGeom>
                                <a:noFill/>
                                <a:ln>
                                  <a:noFill/>
                                </a:ln>
                              </pic:spPr>
                            </pic:pic>
                          </a:graphicData>
                        </a:graphic>
                      </wp:inline>
                    </w:drawing>
                  </w:r>
                </w:p>
              </w:tc>
              <w:tc>
                <w:tcPr>
                  <w:tcW w:w="781" w:type="dxa"/>
                  <w:shd w:val="clear" w:color="auto" w:fill="auto"/>
                  <w:hideMark/>
                </w:tcPr>
                <w:p w14:paraId="2AE38426" w14:textId="77777777" w:rsidR="00816196" w:rsidRPr="004D6136" w:rsidRDefault="00816196" w:rsidP="00816196">
                  <w:pPr>
                    <w:shd w:val="clear" w:color="auto" w:fill="FFFFFF"/>
                    <w:spacing w:before="120"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w:t>
                  </w:r>
                </w:p>
              </w:tc>
              <w:tc>
                <w:tcPr>
                  <w:tcW w:w="5893" w:type="dxa"/>
                  <w:shd w:val="clear" w:color="auto" w:fill="auto"/>
                  <w:hideMark/>
                </w:tcPr>
                <w:p w14:paraId="75517155" w14:textId="77777777" w:rsidR="00816196" w:rsidRPr="004D6136" w:rsidRDefault="00816196" w:rsidP="00816196">
                  <w:pPr>
                    <w:shd w:val="clear" w:color="auto" w:fill="FFFFFF"/>
                    <w:spacing w:before="120"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majorarea;</w:t>
                  </w:r>
                </w:p>
              </w:tc>
            </w:tr>
          </w:tbl>
          <w:p w14:paraId="50130DC1" w14:textId="77777777" w:rsidR="00816196" w:rsidRPr="004D6136" w:rsidRDefault="00816196" w:rsidP="00816196">
            <w:pPr>
              <w:shd w:val="clear" w:color="auto" w:fill="FFFFFF"/>
              <w:spacing w:before="120" w:after="0" w:line="312" w:lineRule="atLeast"/>
              <w:rPr>
                <w:rFonts w:ascii="Times New Roman" w:hAnsi="Times New Roman" w:cs="Times New Roman"/>
                <w:bCs/>
                <w:color w:val="000000" w:themeColor="text1"/>
                <w:lang w:val="ro-MD"/>
              </w:rPr>
            </w:pPr>
          </w:p>
          <w:tbl>
            <w:tblPr>
              <w:tblW w:w="5000" w:type="pct"/>
              <w:tblLayout w:type="fixed"/>
              <w:tblCellMar>
                <w:left w:w="0" w:type="dxa"/>
                <w:right w:w="0" w:type="dxa"/>
              </w:tblCellMar>
              <w:tblLook w:val="04A0" w:firstRow="1" w:lastRow="0" w:firstColumn="1" w:lastColumn="0" w:noHBand="0" w:noVBand="1"/>
            </w:tblPr>
            <w:tblGrid>
              <w:gridCol w:w="74"/>
              <w:gridCol w:w="141"/>
              <w:gridCol w:w="4597"/>
            </w:tblGrid>
            <w:tr w:rsidR="00816196" w:rsidRPr="004D6136" w14:paraId="30A01CE0" w14:textId="77777777" w:rsidTr="00CB614B">
              <w:tc>
                <w:tcPr>
                  <w:tcW w:w="130" w:type="dxa"/>
                  <w:shd w:val="clear" w:color="auto" w:fill="auto"/>
                  <w:hideMark/>
                </w:tcPr>
                <w:p w14:paraId="06038746" w14:textId="77777777" w:rsidR="00816196" w:rsidRPr="004D6136" w:rsidRDefault="00816196" w:rsidP="00816196">
                  <w:pPr>
                    <w:shd w:val="clear" w:color="auto" w:fill="FFFFFF"/>
                    <w:spacing w:before="120"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i</w:t>
                  </w:r>
                </w:p>
              </w:tc>
              <w:tc>
                <w:tcPr>
                  <w:tcW w:w="265" w:type="dxa"/>
                  <w:shd w:val="clear" w:color="auto" w:fill="auto"/>
                  <w:hideMark/>
                </w:tcPr>
                <w:p w14:paraId="506939F5" w14:textId="77777777" w:rsidR="00816196" w:rsidRPr="004D6136" w:rsidRDefault="00816196" w:rsidP="00816196">
                  <w:pPr>
                    <w:shd w:val="clear" w:color="auto" w:fill="FFFFFF"/>
                    <w:spacing w:before="120"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w:t>
                  </w:r>
                </w:p>
              </w:tc>
              <w:tc>
                <w:tcPr>
                  <w:tcW w:w="9294" w:type="dxa"/>
                  <w:shd w:val="clear" w:color="auto" w:fill="auto"/>
                  <w:hideMark/>
                </w:tcPr>
                <w:p w14:paraId="6FE14850" w14:textId="77777777" w:rsidR="00816196" w:rsidRPr="004D6136" w:rsidRDefault="00816196" w:rsidP="00816196">
                  <w:pPr>
                    <w:shd w:val="clear" w:color="auto" w:fill="FFFFFF"/>
                    <w:spacing w:before="120"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indicele care desemnează acordul de compensare;</w:t>
                  </w:r>
                </w:p>
              </w:tc>
            </w:tr>
          </w:tbl>
          <w:p w14:paraId="098081F0" w14:textId="77777777" w:rsidR="00816196" w:rsidRPr="004D6136" w:rsidRDefault="00816196" w:rsidP="00816196">
            <w:pPr>
              <w:shd w:val="clear" w:color="auto" w:fill="FFFFFF"/>
              <w:spacing w:before="120" w:after="0" w:line="312" w:lineRule="atLeast"/>
              <w:rPr>
                <w:rFonts w:ascii="Times New Roman" w:hAnsi="Times New Roman" w:cs="Times New Roman"/>
                <w:bCs/>
                <w:color w:val="000000" w:themeColor="text1"/>
                <w:lang w:val="ro-MD"/>
              </w:rPr>
            </w:pPr>
          </w:p>
          <w:tbl>
            <w:tblPr>
              <w:tblW w:w="4856" w:type="dxa"/>
              <w:tblLayout w:type="fixed"/>
              <w:tblCellMar>
                <w:left w:w="0" w:type="dxa"/>
                <w:right w:w="0" w:type="dxa"/>
              </w:tblCellMar>
              <w:tblLook w:val="04A0" w:firstRow="1" w:lastRow="0" w:firstColumn="1" w:lastColumn="0" w:noHBand="0" w:noVBand="1"/>
            </w:tblPr>
            <w:tblGrid>
              <w:gridCol w:w="35"/>
              <w:gridCol w:w="284"/>
              <w:gridCol w:w="77"/>
              <w:gridCol w:w="65"/>
              <w:gridCol w:w="77"/>
              <w:gridCol w:w="4176"/>
              <w:gridCol w:w="142"/>
            </w:tblGrid>
            <w:tr w:rsidR="00816196" w:rsidRPr="004D6136" w14:paraId="6F17F6CE" w14:textId="77777777" w:rsidTr="00350ADA">
              <w:trPr>
                <w:gridBefore w:val="1"/>
                <w:gridAfter w:val="1"/>
                <w:wBefore w:w="35" w:type="dxa"/>
                <w:wAfter w:w="142" w:type="dxa"/>
              </w:trPr>
              <w:tc>
                <w:tcPr>
                  <w:tcW w:w="426" w:type="dxa"/>
                  <w:gridSpan w:val="3"/>
                  <w:shd w:val="clear" w:color="auto" w:fill="auto"/>
                  <w:hideMark/>
                </w:tcPr>
                <w:p w14:paraId="22058F62" w14:textId="77777777" w:rsidR="00816196" w:rsidRPr="004D6136" w:rsidRDefault="00816196" w:rsidP="00816196">
                  <w:pPr>
                    <w:shd w:val="clear" w:color="auto" w:fill="FFFFFF"/>
                    <w:spacing w:before="120"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Ei</w:t>
                  </w:r>
                </w:p>
              </w:tc>
              <w:tc>
                <w:tcPr>
                  <w:tcW w:w="77" w:type="dxa"/>
                  <w:shd w:val="clear" w:color="auto" w:fill="auto"/>
                  <w:hideMark/>
                </w:tcPr>
                <w:p w14:paraId="4A5A691C" w14:textId="77777777" w:rsidR="00816196" w:rsidRPr="004D6136" w:rsidRDefault="00816196" w:rsidP="00816196">
                  <w:pPr>
                    <w:shd w:val="clear" w:color="auto" w:fill="FFFFFF"/>
                    <w:spacing w:before="120"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w:t>
                  </w:r>
                </w:p>
              </w:tc>
              <w:tc>
                <w:tcPr>
                  <w:tcW w:w="4176" w:type="dxa"/>
                  <w:shd w:val="clear" w:color="auto" w:fill="auto"/>
                  <w:hideMark/>
                </w:tcPr>
                <w:p w14:paraId="097F2E18" w14:textId="118F6FA7" w:rsidR="00816196" w:rsidRPr="004D6136" w:rsidRDefault="00816196" w:rsidP="00816196">
                  <w:pPr>
                    <w:shd w:val="clear" w:color="auto" w:fill="FFFFFF"/>
                    <w:spacing w:before="120"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valoarea justă a titlurilor de valoare sau a sumelor în numerar împrumutate </w:t>
                  </w:r>
                  <w:proofErr w:type="spellStart"/>
                  <w:r w:rsidRPr="004D6136">
                    <w:rPr>
                      <w:rFonts w:ascii="Times New Roman" w:hAnsi="Times New Roman" w:cs="Times New Roman"/>
                      <w:bCs/>
                      <w:color w:val="000000" w:themeColor="text1"/>
                      <w:lang w:val="ro-MD"/>
                    </w:rPr>
                    <w:t>contrapărții</w:t>
                  </w:r>
                  <w:proofErr w:type="spellEnd"/>
                  <w:r w:rsidRPr="004D6136">
                    <w:rPr>
                      <w:rFonts w:ascii="Times New Roman" w:hAnsi="Times New Roman" w:cs="Times New Roman"/>
                      <w:bCs/>
                      <w:color w:val="000000" w:themeColor="text1"/>
                      <w:lang w:val="ro-MD"/>
                    </w:rPr>
                    <w:t xml:space="preserve"> pentru tranzacțiile care fac obiectul acordului-cadru de compensare „i”; și</w:t>
                  </w:r>
                </w:p>
              </w:tc>
            </w:tr>
            <w:tr w:rsidR="00816196" w:rsidRPr="004D6136" w14:paraId="12155BBD" w14:textId="77777777" w:rsidTr="00350ADA">
              <w:tc>
                <w:tcPr>
                  <w:tcW w:w="319" w:type="dxa"/>
                  <w:gridSpan w:val="2"/>
                  <w:shd w:val="clear" w:color="auto" w:fill="auto"/>
                  <w:hideMark/>
                </w:tcPr>
                <w:p w14:paraId="6CCC50E6" w14:textId="77777777" w:rsidR="00816196" w:rsidRPr="004D6136" w:rsidRDefault="00816196" w:rsidP="00816196">
                  <w:pPr>
                    <w:shd w:val="clear" w:color="auto" w:fill="FFFFFF"/>
                    <w:spacing w:before="120"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Ci</w:t>
                  </w:r>
                </w:p>
              </w:tc>
              <w:tc>
                <w:tcPr>
                  <w:tcW w:w="77" w:type="dxa"/>
                  <w:shd w:val="clear" w:color="auto" w:fill="auto"/>
                  <w:hideMark/>
                </w:tcPr>
                <w:p w14:paraId="7548777F" w14:textId="77777777" w:rsidR="00816196" w:rsidRPr="004D6136" w:rsidRDefault="00816196" w:rsidP="00816196">
                  <w:pPr>
                    <w:shd w:val="clear" w:color="auto" w:fill="FFFFFF"/>
                    <w:spacing w:before="120"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w:t>
                  </w:r>
                </w:p>
              </w:tc>
              <w:tc>
                <w:tcPr>
                  <w:tcW w:w="4460" w:type="dxa"/>
                  <w:gridSpan w:val="4"/>
                  <w:shd w:val="clear" w:color="auto" w:fill="auto"/>
                  <w:hideMark/>
                </w:tcPr>
                <w:p w14:paraId="781D2B5C" w14:textId="77777777" w:rsidR="00816196" w:rsidRPr="004D6136" w:rsidRDefault="00816196" w:rsidP="00816196">
                  <w:pPr>
                    <w:shd w:val="clear" w:color="auto" w:fill="FFFFFF"/>
                    <w:spacing w:before="120"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valoarea justă a titlurilor de valoare sau a sumelor în numerar primite de la </w:t>
                  </w:r>
                  <w:proofErr w:type="spellStart"/>
                  <w:r w:rsidRPr="004D6136">
                    <w:rPr>
                      <w:rFonts w:ascii="Times New Roman" w:hAnsi="Times New Roman" w:cs="Times New Roman"/>
                      <w:bCs/>
                      <w:color w:val="000000" w:themeColor="text1"/>
                      <w:lang w:val="ro-MD"/>
                    </w:rPr>
                    <w:t>contraparte</w:t>
                  </w:r>
                  <w:proofErr w:type="spellEnd"/>
                  <w:r w:rsidRPr="004D6136">
                    <w:rPr>
                      <w:rFonts w:ascii="Times New Roman" w:hAnsi="Times New Roman" w:cs="Times New Roman"/>
                      <w:bCs/>
                      <w:color w:val="000000" w:themeColor="text1"/>
                      <w:lang w:val="ro-MD"/>
                    </w:rPr>
                    <w:t xml:space="preserve"> care fac obiectul acordului-cadru de compensare „i”.</w:t>
                  </w:r>
                </w:p>
              </w:tc>
            </w:tr>
          </w:tbl>
          <w:p w14:paraId="7C38C3C1" w14:textId="77777777" w:rsidR="00816196" w:rsidRPr="004D6136" w:rsidRDefault="00816196" w:rsidP="00816196">
            <w:pPr>
              <w:shd w:val="clear" w:color="auto" w:fill="FFFFFF"/>
              <w:spacing w:before="120" w:after="0" w:line="312" w:lineRule="atLeast"/>
              <w:rPr>
                <w:rFonts w:ascii="Times New Roman" w:hAnsi="Times New Roman" w:cs="Times New Roman"/>
                <w:bCs/>
                <w:color w:val="000000" w:themeColor="text1"/>
                <w:lang w:val="ro-MD"/>
              </w:rPr>
            </w:pPr>
          </w:p>
        </w:tc>
        <w:tc>
          <w:tcPr>
            <w:tcW w:w="1557" w:type="pct"/>
            <w:shd w:val="clear" w:color="auto" w:fill="auto"/>
          </w:tcPr>
          <w:p w14:paraId="448C340E" w14:textId="15552D42" w:rsidR="00816196" w:rsidRPr="004D6136" w:rsidRDefault="00C7336D" w:rsidP="00816196">
            <w:pPr>
              <w:shd w:val="clear" w:color="auto" w:fill="FFFFFF"/>
              <w:spacing w:before="120"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56</w:t>
            </w:r>
            <w:r w:rsidR="00816196" w:rsidRPr="004D6136">
              <w:rPr>
                <w:rFonts w:ascii="Times New Roman" w:hAnsi="Times New Roman" w:cs="Times New Roman"/>
                <w:bCs/>
                <w:color w:val="000000" w:themeColor="text1"/>
                <w:lang w:val="ro-MD"/>
              </w:rPr>
              <w:t>.</w:t>
            </w:r>
            <w:r w:rsidR="00816196" w:rsidRPr="004D6136">
              <w:rPr>
                <w:rFonts w:ascii="Times New Roman" w:hAnsi="Times New Roman" w:cs="Times New Roman" w:hint="eastAsia"/>
                <w:bCs/>
                <w:color w:val="000000" w:themeColor="text1"/>
                <w:lang w:val="ro-MD"/>
              </w:rPr>
              <w:t>   </w:t>
            </w:r>
            <w:r w:rsidR="00816196" w:rsidRPr="004D6136">
              <w:rPr>
                <w:rFonts w:ascii="Times New Roman" w:hAnsi="Times New Roman" w:cs="Times New Roman"/>
                <w:bCs/>
                <w:color w:val="000000" w:themeColor="text1"/>
                <w:lang w:val="ro-MD"/>
              </w:rPr>
              <w:t>Băncile</w:t>
            </w:r>
            <w:r w:rsidR="00816196" w:rsidRPr="004D6136">
              <w:rPr>
                <w:rFonts w:ascii="Times New Roman" w:hAnsi="Times New Roman" w:cs="Times New Roman" w:hint="eastAsia"/>
                <w:bCs/>
                <w:color w:val="000000" w:themeColor="text1"/>
                <w:lang w:val="ro-MD"/>
              </w:rPr>
              <w:t xml:space="preserve"> calculează majorarea pentru tranzacțiile cu o </w:t>
            </w:r>
            <w:proofErr w:type="spellStart"/>
            <w:r w:rsidR="00816196" w:rsidRPr="004D6136">
              <w:rPr>
                <w:rFonts w:ascii="Times New Roman" w:hAnsi="Times New Roman" w:cs="Times New Roman" w:hint="eastAsia"/>
                <w:bCs/>
                <w:color w:val="000000" w:themeColor="text1"/>
                <w:lang w:val="ro-MD"/>
              </w:rPr>
              <w:t>contraparte</w:t>
            </w:r>
            <w:proofErr w:type="spellEnd"/>
            <w:r w:rsidR="00816196" w:rsidRPr="004D6136">
              <w:rPr>
                <w:rFonts w:ascii="Times New Roman" w:hAnsi="Times New Roman" w:cs="Times New Roman" w:hint="eastAsia"/>
                <w:bCs/>
                <w:color w:val="000000" w:themeColor="text1"/>
                <w:lang w:val="ro-MD"/>
              </w:rPr>
              <w:t xml:space="preserve"> care fac obiectul unui acord-cadru de compensare ce îndeplinește condițiile prevăzute la </w:t>
            </w:r>
            <w:r w:rsidR="00816196" w:rsidRPr="004D6136">
              <w:rPr>
                <w:rFonts w:ascii="Times New Roman" w:hAnsi="Times New Roman" w:cs="Times New Roman"/>
                <w:bCs/>
                <w:color w:val="000000" w:themeColor="text1"/>
                <w:lang w:val="ro-MD"/>
              </w:rPr>
              <w:t>pct.43 din Regulamentul nr.112/2018</w:t>
            </w:r>
            <w:r w:rsidR="00816196" w:rsidRPr="004D6136">
              <w:rPr>
                <w:rFonts w:ascii="Times New Roman" w:hAnsi="Times New Roman" w:cs="Times New Roman" w:hint="eastAsia"/>
                <w:bCs/>
                <w:color w:val="000000" w:themeColor="text1"/>
                <w:lang w:val="ro-MD"/>
              </w:rPr>
              <w:t>, pentru fiecare acord în parte, în conformitate cu următoarea formulă:</w:t>
            </w:r>
          </w:p>
          <w:p w14:paraId="51B5D7AC" w14:textId="77777777" w:rsidR="00816196" w:rsidRPr="004D6136" w:rsidRDefault="00816196" w:rsidP="00816196">
            <w:pPr>
              <w:shd w:val="clear" w:color="auto" w:fill="FFFFFF"/>
              <w:spacing w:before="120" w:after="0" w:line="312" w:lineRule="atLeast"/>
              <w:rPr>
                <w:rFonts w:ascii="Times New Roman" w:hAnsi="Times New Roman" w:cs="Times New Roman"/>
                <w:bCs/>
                <w:color w:val="000000" w:themeColor="text1"/>
                <w:lang w:val="ro-MD"/>
              </w:rPr>
            </w:pPr>
            <w:r w:rsidRPr="004D6136">
              <w:rPr>
                <w:rFonts w:ascii="Times New Roman" w:hAnsi="Times New Roman" w:cs="Times New Roman"/>
                <w:bCs/>
                <w:noProof/>
                <w:color w:val="000000" w:themeColor="text1"/>
                <w:lang w:val="ro-MD"/>
              </w:rPr>
              <w:lastRenderedPageBreak/>
              <w:drawing>
                <wp:inline distT="0" distB="0" distL="0" distR="0" wp14:anchorId="6885E3C0" wp14:editId="737F2951">
                  <wp:extent cx="3181985" cy="782955"/>
                  <wp:effectExtent l="0" t="0" r="0" b="0"/>
                  <wp:docPr id="17" name="Picture 1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81985" cy="782955"/>
                          </a:xfrm>
                          <a:prstGeom prst="rect">
                            <a:avLst/>
                          </a:prstGeom>
                          <a:noFill/>
                          <a:ln>
                            <a:noFill/>
                          </a:ln>
                        </pic:spPr>
                      </pic:pic>
                    </a:graphicData>
                  </a:graphic>
                </wp:inline>
              </w:drawing>
            </w:r>
          </w:p>
          <w:p w14:paraId="481FD27A" w14:textId="77777777" w:rsidR="00816196" w:rsidRPr="004D6136" w:rsidRDefault="00816196" w:rsidP="00816196">
            <w:pPr>
              <w:shd w:val="clear" w:color="auto" w:fill="FFFFFF"/>
              <w:spacing w:before="120" w:after="0" w:line="312" w:lineRule="atLeast"/>
              <w:rPr>
                <w:rFonts w:ascii="Times New Roman" w:hAnsi="Times New Roman" w:cs="Times New Roman"/>
                <w:bCs/>
                <w:color w:val="000000" w:themeColor="text1"/>
                <w:lang w:val="ro-MD"/>
              </w:rPr>
            </w:pPr>
            <w:r w:rsidRPr="004D6136">
              <w:rPr>
                <w:rFonts w:ascii="Times New Roman" w:hAnsi="Times New Roman" w:cs="Times New Roman" w:hint="eastAsia"/>
                <w:bCs/>
                <w:color w:val="000000" w:themeColor="text1"/>
                <w:lang w:val="ro-MD"/>
              </w:rPr>
              <w:t>unde:</w:t>
            </w:r>
          </w:p>
          <w:tbl>
            <w:tblPr>
              <w:tblW w:w="5000" w:type="pct"/>
              <w:tblLayout w:type="fixed"/>
              <w:tblCellMar>
                <w:left w:w="0" w:type="dxa"/>
                <w:right w:w="0" w:type="dxa"/>
              </w:tblCellMar>
              <w:tblLook w:val="04A0" w:firstRow="1" w:lastRow="0" w:firstColumn="1" w:lastColumn="0" w:noHBand="0" w:noVBand="1"/>
            </w:tblPr>
            <w:tblGrid>
              <w:gridCol w:w="1458"/>
              <w:gridCol w:w="386"/>
              <w:gridCol w:w="2842"/>
            </w:tblGrid>
            <w:tr w:rsidR="00816196" w:rsidRPr="004D6136" w14:paraId="229E977B" w14:textId="77777777" w:rsidTr="00B35473">
              <w:tc>
                <w:tcPr>
                  <w:tcW w:w="3015" w:type="dxa"/>
                  <w:shd w:val="clear" w:color="auto" w:fill="auto"/>
                  <w:hideMark/>
                </w:tcPr>
                <w:p w14:paraId="07DA68DE" w14:textId="77777777" w:rsidR="00816196" w:rsidRPr="004D6136" w:rsidRDefault="00816196" w:rsidP="00816196">
                  <w:pPr>
                    <w:shd w:val="clear" w:color="auto" w:fill="FFFFFF"/>
                    <w:spacing w:before="120" w:after="0" w:line="312" w:lineRule="atLeast"/>
                    <w:rPr>
                      <w:rFonts w:ascii="Times New Roman" w:hAnsi="Times New Roman" w:cs="Times New Roman"/>
                      <w:bCs/>
                      <w:color w:val="000000" w:themeColor="text1"/>
                      <w:lang w:val="ro-MD"/>
                    </w:rPr>
                  </w:pPr>
                  <w:r w:rsidRPr="004D6136">
                    <w:rPr>
                      <w:rFonts w:ascii="Times New Roman" w:hAnsi="Times New Roman" w:cs="Times New Roman"/>
                      <w:bCs/>
                      <w:noProof/>
                      <w:color w:val="000000" w:themeColor="text1"/>
                      <w:lang w:val="ro-MD"/>
                    </w:rPr>
                    <w:drawing>
                      <wp:inline distT="0" distB="0" distL="0" distR="0" wp14:anchorId="70611031" wp14:editId="56B72D19">
                        <wp:extent cx="336550" cy="380365"/>
                        <wp:effectExtent l="0" t="0" r="6350" b="635"/>
                        <wp:docPr id="18" name="Picture 1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550" cy="380365"/>
                                </a:xfrm>
                                <a:prstGeom prst="rect">
                                  <a:avLst/>
                                </a:prstGeom>
                                <a:noFill/>
                                <a:ln>
                                  <a:noFill/>
                                </a:ln>
                              </pic:spPr>
                            </pic:pic>
                          </a:graphicData>
                        </a:graphic>
                      </wp:inline>
                    </w:drawing>
                  </w:r>
                </w:p>
              </w:tc>
              <w:tc>
                <w:tcPr>
                  <w:tcW w:w="781" w:type="dxa"/>
                  <w:shd w:val="clear" w:color="auto" w:fill="auto"/>
                  <w:hideMark/>
                </w:tcPr>
                <w:p w14:paraId="60F5B841" w14:textId="77777777" w:rsidR="00816196" w:rsidRPr="004D6136" w:rsidRDefault="00816196" w:rsidP="00816196">
                  <w:pPr>
                    <w:shd w:val="clear" w:color="auto" w:fill="FFFFFF"/>
                    <w:spacing w:before="120"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w:t>
                  </w:r>
                </w:p>
              </w:tc>
              <w:tc>
                <w:tcPr>
                  <w:tcW w:w="5893" w:type="dxa"/>
                  <w:shd w:val="clear" w:color="auto" w:fill="auto"/>
                  <w:hideMark/>
                </w:tcPr>
                <w:p w14:paraId="4DAA8AE0" w14:textId="77777777" w:rsidR="00816196" w:rsidRPr="004D6136" w:rsidRDefault="00816196" w:rsidP="00816196">
                  <w:pPr>
                    <w:shd w:val="clear" w:color="auto" w:fill="FFFFFF"/>
                    <w:spacing w:before="120"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majorarea;</w:t>
                  </w:r>
                </w:p>
              </w:tc>
            </w:tr>
          </w:tbl>
          <w:p w14:paraId="392616EF" w14:textId="77777777" w:rsidR="00816196" w:rsidRPr="004D6136" w:rsidRDefault="00816196" w:rsidP="00816196">
            <w:pPr>
              <w:shd w:val="clear" w:color="auto" w:fill="FFFFFF"/>
              <w:spacing w:before="120" w:after="0" w:line="312" w:lineRule="atLeast"/>
              <w:rPr>
                <w:rFonts w:ascii="Times New Roman" w:hAnsi="Times New Roman" w:cs="Times New Roman"/>
                <w:bCs/>
                <w:color w:val="000000" w:themeColor="text1"/>
                <w:lang w:val="ro-MD"/>
              </w:rPr>
            </w:pPr>
          </w:p>
          <w:tbl>
            <w:tblPr>
              <w:tblW w:w="5000" w:type="pct"/>
              <w:tblLayout w:type="fixed"/>
              <w:tblCellMar>
                <w:left w:w="0" w:type="dxa"/>
                <w:right w:w="0" w:type="dxa"/>
              </w:tblCellMar>
              <w:tblLook w:val="04A0" w:firstRow="1" w:lastRow="0" w:firstColumn="1" w:lastColumn="0" w:noHBand="0" w:noVBand="1"/>
            </w:tblPr>
            <w:tblGrid>
              <w:gridCol w:w="73"/>
              <w:gridCol w:w="138"/>
              <w:gridCol w:w="4475"/>
            </w:tblGrid>
            <w:tr w:rsidR="00816196" w:rsidRPr="004D6136" w14:paraId="0AF4E31C" w14:textId="77777777" w:rsidTr="00B35473">
              <w:tc>
                <w:tcPr>
                  <w:tcW w:w="130" w:type="dxa"/>
                  <w:shd w:val="clear" w:color="auto" w:fill="auto"/>
                  <w:hideMark/>
                </w:tcPr>
                <w:p w14:paraId="054AB315" w14:textId="77777777" w:rsidR="00816196" w:rsidRPr="004D6136" w:rsidRDefault="00816196" w:rsidP="00816196">
                  <w:pPr>
                    <w:shd w:val="clear" w:color="auto" w:fill="FFFFFF"/>
                    <w:spacing w:before="120"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i</w:t>
                  </w:r>
                </w:p>
              </w:tc>
              <w:tc>
                <w:tcPr>
                  <w:tcW w:w="265" w:type="dxa"/>
                  <w:shd w:val="clear" w:color="auto" w:fill="auto"/>
                  <w:hideMark/>
                </w:tcPr>
                <w:p w14:paraId="1DC4E175" w14:textId="77777777" w:rsidR="00816196" w:rsidRPr="004D6136" w:rsidRDefault="00816196" w:rsidP="00816196">
                  <w:pPr>
                    <w:shd w:val="clear" w:color="auto" w:fill="FFFFFF"/>
                    <w:spacing w:before="120"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w:t>
                  </w:r>
                </w:p>
              </w:tc>
              <w:tc>
                <w:tcPr>
                  <w:tcW w:w="9294" w:type="dxa"/>
                  <w:shd w:val="clear" w:color="auto" w:fill="auto"/>
                  <w:hideMark/>
                </w:tcPr>
                <w:p w14:paraId="2509FB28" w14:textId="77777777" w:rsidR="00816196" w:rsidRPr="004D6136" w:rsidRDefault="00816196" w:rsidP="00816196">
                  <w:pPr>
                    <w:shd w:val="clear" w:color="auto" w:fill="FFFFFF"/>
                    <w:spacing w:before="120"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indicele care desemnează acordul de compensare;</w:t>
                  </w:r>
                </w:p>
              </w:tc>
            </w:tr>
          </w:tbl>
          <w:p w14:paraId="6FB957C6" w14:textId="77777777" w:rsidR="00816196" w:rsidRPr="004D6136" w:rsidRDefault="00816196" w:rsidP="00816196">
            <w:pPr>
              <w:shd w:val="clear" w:color="auto" w:fill="FFFFFF"/>
              <w:spacing w:before="120" w:after="0" w:line="312" w:lineRule="atLeast"/>
              <w:rPr>
                <w:rFonts w:ascii="Times New Roman" w:hAnsi="Times New Roman" w:cs="Times New Roman"/>
                <w:bCs/>
                <w:color w:val="000000" w:themeColor="text1"/>
                <w:lang w:val="ro-MD"/>
              </w:rPr>
            </w:pPr>
          </w:p>
          <w:tbl>
            <w:tblPr>
              <w:tblW w:w="4856" w:type="dxa"/>
              <w:tblLayout w:type="fixed"/>
              <w:tblCellMar>
                <w:left w:w="0" w:type="dxa"/>
                <w:right w:w="0" w:type="dxa"/>
              </w:tblCellMar>
              <w:tblLook w:val="04A0" w:firstRow="1" w:lastRow="0" w:firstColumn="1" w:lastColumn="0" w:noHBand="0" w:noVBand="1"/>
            </w:tblPr>
            <w:tblGrid>
              <w:gridCol w:w="35"/>
              <w:gridCol w:w="284"/>
              <w:gridCol w:w="77"/>
              <w:gridCol w:w="65"/>
              <w:gridCol w:w="77"/>
              <w:gridCol w:w="4176"/>
              <w:gridCol w:w="142"/>
            </w:tblGrid>
            <w:tr w:rsidR="00816196" w:rsidRPr="004D6136" w14:paraId="221F7721" w14:textId="77777777" w:rsidTr="00B35473">
              <w:trPr>
                <w:gridBefore w:val="1"/>
                <w:gridAfter w:val="1"/>
                <w:wBefore w:w="35" w:type="dxa"/>
                <w:wAfter w:w="142" w:type="dxa"/>
              </w:trPr>
              <w:tc>
                <w:tcPr>
                  <w:tcW w:w="426" w:type="dxa"/>
                  <w:gridSpan w:val="3"/>
                  <w:shd w:val="clear" w:color="auto" w:fill="auto"/>
                  <w:hideMark/>
                </w:tcPr>
                <w:p w14:paraId="34694662" w14:textId="77777777" w:rsidR="00816196" w:rsidRPr="004D6136" w:rsidRDefault="00816196" w:rsidP="00816196">
                  <w:pPr>
                    <w:shd w:val="clear" w:color="auto" w:fill="FFFFFF"/>
                    <w:spacing w:before="120"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Ei</w:t>
                  </w:r>
                </w:p>
              </w:tc>
              <w:tc>
                <w:tcPr>
                  <w:tcW w:w="77" w:type="dxa"/>
                  <w:shd w:val="clear" w:color="auto" w:fill="auto"/>
                  <w:hideMark/>
                </w:tcPr>
                <w:p w14:paraId="45BDF664" w14:textId="77777777" w:rsidR="00816196" w:rsidRPr="004D6136" w:rsidRDefault="00816196" w:rsidP="00816196">
                  <w:pPr>
                    <w:shd w:val="clear" w:color="auto" w:fill="FFFFFF"/>
                    <w:spacing w:before="120"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w:t>
                  </w:r>
                </w:p>
              </w:tc>
              <w:tc>
                <w:tcPr>
                  <w:tcW w:w="4176" w:type="dxa"/>
                  <w:shd w:val="clear" w:color="auto" w:fill="auto"/>
                  <w:hideMark/>
                </w:tcPr>
                <w:p w14:paraId="23A23D89" w14:textId="77777777" w:rsidR="00816196" w:rsidRPr="004D6136" w:rsidRDefault="00816196" w:rsidP="00816196">
                  <w:pPr>
                    <w:shd w:val="clear" w:color="auto" w:fill="FFFFFF"/>
                    <w:spacing w:before="120"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valoarea justă a titlurilor de valoare sau a sumelor în numerar împrumutate </w:t>
                  </w:r>
                  <w:proofErr w:type="spellStart"/>
                  <w:r w:rsidRPr="004D6136">
                    <w:rPr>
                      <w:rFonts w:ascii="Times New Roman" w:hAnsi="Times New Roman" w:cs="Times New Roman"/>
                      <w:bCs/>
                      <w:color w:val="000000" w:themeColor="text1"/>
                      <w:lang w:val="ro-MD"/>
                    </w:rPr>
                    <w:t>contrapărții</w:t>
                  </w:r>
                  <w:proofErr w:type="spellEnd"/>
                  <w:r w:rsidRPr="004D6136">
                    <w:rPr>
                      <w:rFonts w:ascii="Times New Roman" w:hAnsi="Times New Roman" w:cs="Times New Roman"/>
                      <w:bCs/>
                      <w:color w:val="000000" w:themeColor="text1"/>
                      <w:lang w:val="ro-MD"/>
                    </w:rPr>
                    <w:t xml:space="preserve"> pentru tranzacțiile care fac obiectul acordului-cadru de compensare „i”; și</w:t>
                  </w:r>
                </w:p>
              </w:tc>
            </w:tr>
            <w:tr w:rsidR="00816196" w:rsidRPr="004D6136" w14:paraId="32FE801F" w14:textId="77777777" w:rsidTr="00B35473">
              <w:tc>
                <w:tcPr>
                  <w:tcW w:w="319" w:type="dxa"/>
                  <w:gridSpan w:val="2"/>
                  <w:shd w:val="clear" w:color="auto" w:fill="auto"/>
                  <w:hideMark/>
                </w:tcPr>
                <w:p w14:paraId="2C29F5F8" w14:textId="77777777" w:rsidR="00816196" w:rsidRPr="004D6136" w:rsidRDefault="00816196" w:rsidP="00816196">
                  <w:pPr>
                    <w:shd w:val="clear" w:color="auto" w:fill="FFFFFF"/>
                    <w:spacing w:before="120"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Ci</w:t>
                  </w:r>
                </w:p>
              </w:tc>
              <w:tc>
                <w:tcPr>
                  <w:tcW w:w="77" w:type="dxa"/>
                  <w:shd w:val="clear" w:color="auto" w:fill="auto"/>
                  <w:hideMark/>
                </w:tcPr>
                <w:p w14:paraId="60CE01C9" w14:textId="77777777" w:rsidR="00816196" w:rsidRPr="004D6136" w:rsidRDefault="00816196" w:rsidP="00816196">
                  <w:pPr>
                    <w:shd w:val="clear" w:color="auto" w:fill="FFFFFF"/>
                    <w:spacing w:before="120"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w:t>
                  </w:r>
                </w:p>
              </w:tc>
              <w:tc>
                <w:tcPr>
                  <w:tcW w:w="4460" w:type="dxa"/>
                  <w:gridSpan w:val="4"/>
                  <w:shd w:val="clear" w:color="auto" w:fill="auto"/>
                  <w:hideMark/>
                </w:tcPr>
                <w:p w14:paraId="5A275BED" w14:textId="77777777" w:rsidR="00816196" w:rsidRPr="004D6136" w:rsidRDefault="00816196" w:rsidP="00816196">
                  <w:pPr>
                    <w:shd w:val="clear" w:color="auto" w:fill="FFFFFF"/>
                    <w:spacing w:before="120"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valoarea justă a titlurilor de valoare sau a sumelor în numerar primite de la </w:t>
                  </w:r>
                  <w:proofErr w:type="spellStart"/>
                  <w:r w:rsidRPr="004D6136">
                    <w:rPr>
                      <w:rFonts w:ascii="Times New Roman" w:hAnsi="Times New Roman" w:cs="Times New Roman"/>
                      <w:bCs/>
                      <w:color w:val="000000" w:themeColor="text1"/>
                      <w:lang w:val="ro-MD"/>
                    </w:rPr>
                    <w:t>contraparte</w:t>
                  </w:r>
                  <w:proofErr w:type="spellEnd"/>
                  <w:r w:rsidRPr="004D6136">
                    <w:rPr>
                      <w:rFonts w:ascii="Times New Roman" w:hAnsi="Times New Roman" w:cs="Times New Roman"/>
                      <w:bCs/>
                      <w:color w:val="000000" w:themeColor="text1"/>
                      <w:lang w:val="ro-MD"/>
                    </w:rPr>
                    <w:t xml:space="preserve"> care fac obiectul acordului-cadru de compensare „i”.</w:t>
                  </w:r>
                </w:p>
              </w:tc>
            </w:tr>
          </w:tbl>
          <w:p w14:paraId="28BAB575" w14:textId="77777777" w:rsidR="00816196" w:rsidRPr="004D6136" w:rsidRDefault="00816196" w:rsidP="00816196">
            <w:pPr>
              <w:shd w:val="clear" w:color="auto" w:fill="FFFFFF"/>
              <w:spacing w:before="120" w:after="0" w:line="312" w:lineRule="atLeast"/>
              <w:rPr>
                <w:rFonts w:ascii="Times New Roman" w:hAnsi="Times New Roman" w:cs="Times New Roman"/>
                <w:bCs/>
                <w:color w:val="000000" w:themeColor="text1"/>
                <w:lang w:val="ro-MD"/>
              </w:rPr>
            </w:pPr>
          </w:p>
        </w:tc>
        <w:tc>
          <w:tcPr>
            <w:tcW w:w="585" w:type="pct"/>
          </w:tcPr>
          <w:p w14:paraId="1DD0042D" w14:textId="0BEC7743" w:rsidR="00816196" w:rsidRPr="004D6136" w:rsidRDefault="00AA3BD3" w:rsidP="00816196">
            <w:pPr>
              <w:shd w:val="clear" w:color="auto" w:fill="FFFFFF"/>
              <w:spacing w:before="120"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compatibil</w:t>
            </w:r>
          </w:p>
        </w:tc>
        <w:tc>
          <w:tcPr>
            <w:tcW w:w="1261" w:type="pct"/>
          </w:tcPr>
          <w:p w14:paraId="503CEE71" w14:textId="77777777" w:rsidR="00816196" w:rsidRPr="004D6136" w:rsidRDefault="00816196" w:rsidP="00816196">
            <w:pPr>
              <w:shd w:val="clear" w:color="auto" w:fill="FFFFFF"/>
              <w:spacing w:before="120" w:after="0" w:line="312" w:lineRule="atLeast"/>
              <w:rPr>
                <w:rFonts w:ascii="Times New Roman" w:hAnsi="Times New Roman" w:cs="Times New Roman"/>
                <w:bCs/>
                <w:color w:val="000000" w:themeColor="text1"/>
                <w:lang w:val="ro-MD"/>
              </w:rPr>
            </w:pPr>
          </w:p>
        </w:tc>
      </w:tr>
      <w:tr w:rsidR="00816196" w:rsidRPr="004D6136" w14:paraId="2CF9DBB7" w14:textId="77777777" w:rsidTr="00E42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2EC17DD8" w14:textId="2D281DBC"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(4)   În sensul alineatelor (2) și (3), termenul </w:t>
            </w:r>
            <w:proofErr w:type="spellStart"/>
            <w:r w:rsidRPr="004D6136">
              <w:rPr>
                <w:rFonts w:ascii="Times New Roman" w:hAnsi="Times New Roman" w:cs="Times New Roman"/>
                <w:bCs/>
                <w:color w:val="000000" w:themeColor="text1"/>
                <w:lang w:val="ro-MD"/>
              </w:rPr>
              <w:t>contraparte</w:t>
            </w:r>
            <w:proofErr w:type="spellEnd"/>
            <w:r w:rsidRPr="004D6136">
              <w:rPr>
                <w:rFonts w:ascii="Times New Roman" w:hAnsi="Times New Roman" w:cs="Times New Roman"/>
                <w:bCs/>
                <w:color w:val="000000" w:themeColor="text1"/>
                <w:lang w:val="ro-MD"/>
              </w:rPr>
              <w:t xml:space="preserve"> include, de asemenea, agenții tripartiți care primesc garanții reale în depozit și administrează garanțiile reale în cazul tranzacțiilor tripartite.</w:t>
            </w:r>
          </w:p>
        </w:tc>
        <w:tc>
          <w:tcPr>
            <w:tcW w:w="1557" w:type="pct"/>
            <w:shd w:val="clear" w:color="auto" w:fill="auto"/>
          </w:tcPr>
          <w:p w14:paraId="5005994A" w14:textId="7C6E30B4" w:rsidR="00816196" w:rsidRPr="004D6136" w:rsidRDefault="00C7336D"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57</w:t>
            </w:r>
            <w:r w:rsidR="00816196" w:rsidRPr="004D6136">
              <w:rPr>
                <w:rFonts w:ascii="Times New Roman" w:hAnsi="Times New Roman" w:cs="Times New Roman"/>
                <w:bCs/>
                <w:color w:val="000000" w:themeColor="text1"/>
                <w:lang w:val="ro-MD"/>
              </w:rPr>
              <w:t>.   În sensulpct.</w:t>
            </w:r>
            <w:r w:rsidRPr="004D6136">
              <w:rPr>
                <w:rFonts w:ascii="Times New Roman" w:hAnsi="Times New Roman" w:cs="Times New Roman"/>
                <w:bCs/>
                <w:color w:val="000000" w:themeColor="text1"/>
                <w:lang w:val="ro-MD"/>
              </w:rPr>
              <w:t xml:space="preserve">55 </w:t>
            </w:r>
            <w:r w:rsidR="00816196" w:rsidRPr="004D6136">
              <w:rPr>
                <w:rFonts w:ascii="Times New Roman" w:hAnsi="Times New Roman" w:cs="Times New Roman"/>
                <w:bCs/>
                <w:color w:val="000000" w:themeColor="text1"/>
                <w:lang w:val="ro-MD"/>
              </w:rPr>
              <w:t xml:space="preserve">și </w:t>
            </w:r>
            <w:r w:rsidRPr="004D6136">
              <w:rPr>
                <w:rFonts w:ascii="Times New Roman" w:hAnsi="Times New Roman" w:cs="Times New Roman"/>
                <w:bCs/>
                <w:color w:val="000000" w:themeColor="text1"/>
                <w:lang w:val="ro-MD"/>
              </w:rPr>
              <w:t>56</w:t>
            </w:r>
            <w:r w:rsidR="00816196" w:rsidRPr="004D6136">
              <w:rPr>
                <w:rFonts w:ascii="Times New Roman" w:hAnsi="Times New Roman" w:cs="Times New Roman"/>
                <w:bCs/>
                <w:color w:val="000000" w:themeColor="text1"/>
                <w:lang w:val="ro-MD"/>
              </w:rPr>
              <w:t xml:space="preserve">, termenul </w:t>
            </w:r>
            <w:proofErr w:type="spellStart"/>
            <w:r w:rsidR="00816196" w:rsidRPr="004D6136">
              <w:rPr>
                <w:rFonts w:ascii="Times New Roman" w:hAnsi="Times New Roman" w:cs="Times New Roman"/>
                <w:bCs/>
                <w:color w:val="000000" w:themeColor="text1"/>
                <w:lang w:val="ro-MD"/>
              </w:rPr>
              <w:t>contraparte</w:t>
            </w:r>
            <w:proofErr w:type="spellEnd"/>
            <w:r w:rsidR="00816196" w:rsidRPr="004D6136">
              <w:rPr>
                <w:rFonts w:ascii="Times New Roman" w:hAnsi="Times New Roman" w:cs="Times New Roman"/>
                <w:bCs/>
                <w:color w:val="000000" w:themeColor="text1"/>
                <w:lang w:val="ro-MD"/>
              </w:rPr>
              <w:t xml:space="preserve"> include, de asemenea, agenții tripartiți care primesc garanții reale în depozit și administrează garanțiile reale în cazul tranzacțiilor tripartite.</w:t>
            </w:r>
          </w:p>
        </w:tc>
        <w:tc>
          <w:tcPr>
            <w:tcW w:w="585" w:type="pct"/>
          </w:tcPr>
          <w:p w14:paraId="01D69337" w14:textId="593E9416" w:rsidR="00816196" w:rsidRPr="004D6136" w:rsidRDefault="00AA3BD3"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compatibil</w:t>
            </w:r>
          </w:p>
        </w:tc>
        <w:tc>
          <w:tcPr>
            <w:tcW w:w="1261" w:type="pct"/>
          </w:tcPr>
          <w:p w14:paraId="1FDA449A" w14:textId="77777777"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p>
        </w:tc>
      </w:tr>
      <w:tr w:rsidR="00816196" w:rsidRPr="004D6136" w14:paraId="0D74A21E" w14:textId="77777777" w:rsidTr="00E42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5AC835FA" w14:textId="229D53D6"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 xml:space="preserve">(5)   Prin derogare de la prezentul articol alineatul (1), instituțiile pot să utilizeze metoda prevăzută la articolul 222, sub rezerva unui prag de 20 % pentru ponderea de risc aplicabilă, în scopul de a determina majorarea pentru operațiunile de finanțare prin titluri de valoare, inclusiv pentru cele </w:t>
            </w:r>
            <w:proofErr w:type="spellStart"/>
            <w:r w:rsidRPr="004D6136">
              <w:rPr>
                <w:rFonts w:ascii="Times New Roman" w:hAnsi="Times New Roman" w:cs="Times New Roman"/>
                <w:bCs/>
                <w:color w:val="000000" w:themeColor="text1"/>
                <w:lang w:val="ro-MD"/>
              </w:rPr>
              <w:t>extrabilanțiere</w:t>
            </w:r>
            <w:proofErr w:type="spellEnd"/>
            <w:r w:rsidRPr="004D6136">
              <w:rPr>
                <w:rFonts w:ascii="Times New Roman" w:hAnsi="Times New Roman" w:cs="Times New Roman"/>
                <w:bCs/>
                <w:color w:val="000000" w:themeColor="text1"/>
                <w:lang w:val="ro-MD"/>
              </w:rPr>
              <w:t>. Instituțiile pot să utilizeze metoda respectivă numai în cazul în care o utilizează și pentru calcularea valorii expunerii tranzacțiilor respective în scopul îndeplinirii cerințelor de fonduri proprii prevăzute la articolul 92 alineatul (1) literele (a), (b) și (c).</w:t>
            </w:r>
          </w:p>
        </w:tc>
        <w:tc>
          <w:tcPr>
            <w:tcW w:w="1557" w:type="pct"/>
            <w:shd w:val="clear" w:color="auto" w:fill="auto"/>
          </w:tcPr>
          <w:p w14:paraId="4DCB8DB0" w14:textId="3591EBC4" w:rsidR="00816196" w:rsidRPr="004D6136" w:rsidRDefault="00C7336D"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58</w:t>
            </w:r>
            <w:r w:rsidR="00816196" w:rsidRPr="004D6136">
              <w:rPr>
                <w:rFonts w:ascii="Times New Roman" w:hAnsi="Times New Roman" w:cs="Times New Roman"/>
                <w:bCs/>
                <w:color w:val="000000" w:themeColor="text1"/>
                <w:lang w:val="ro-MD"/>
              </w:rPr>
              <w:t>.   Prin derogare de la pct.</w:t>
            </w:r>
            <w:r w:rsidRPr="004D6136">
              <w:rPr>
                <w:rFonts w:ascii="Times New Roman" w:hAnsi="Times New Roman" w:cs="Times New Roman"/>
                <w:bCs/>
                <w:color w:val="000000" w:themeColor="text1"/>
                <w:lang w:val="ro-MD"/>
              </w:rPr>
              <w:t>54</w:t>
            </w:r>
            <w:r w:rsidR="00816196" w:rsidRPr="004D6136">
              <w:rPr>
                <w:rFonts w:ascii="Times New Roman" w:hAnsi="Times New Roman" w:cs="Times New Roman"/>
                <w:bCs/>
                <w:color w:val="000000" w:themeColor="text1"/>
                <w:lang w:val="ro-MD"/>
              </w:rPr>
              <w:t xml:space="preserve">, băncile pot să utilizeze metoda prevăzută la pct.73-83 din Regulamentul nr.112/2018, sub rezerva unui prag de 20 % pentru ponderea de risc aplicabilă, în scopul de a determina majorarea pentru operațiunile de finanțare prin titluri de valoare, inclusiv pentru cele </w:t>
            </w:r>
            <w:proofErr w:type="spellStart"/>
            <w:r w:rsidR="00816196" w:rsidRPr="004D6136">
              <w:rPr>
                <w:rFonts w:ascii="Times New Roman" w:hAnsi="Times New Roman" w:cs="Times New Roman"/>
                <w:bCs/>
                <w:color w:val="000000" w:themeColor="text1"/>
                <w:lang w:val="ro-MD"/>
              </w:rPr>
              <w:t>extrabilanțiere</w:t>
            </w:r>
            <w:proofErr w:type="spellEnd"/>
            <w:r w:rsidR="00816196" w:rsidRPr="004D6136">
              <w:rPr>
                <w:rFonts w:ascii="Times New Roman" w:hAnsi="Times New Roman" w:cs="Times New Roman"/>
                <w:bCs/>
                <w:color w:val="000000" w:themeColor="text1"/>
                <w:lang w:val="ro-MD"/>
              </w:rPr>
              <w:t>. Băncile pot să utilizeze metoda respectivă numai în cazul în care o utilizează și pentru calcularea valorii expunerii tranzacțiilor respective în scopul îndeplinirii cerințelor de fonduri proprii prevăzute la subpct.1)-3) din pct.130 din Regulamentul nr.109/2018.</w:t>
            </w:r>
          </w:p>
        </w:tc>
        <w:tc>
          <w:tcPr>
            <w:tcW w:w="585" w:type="pct"/>
          </w:tcPr>
          <w:p w14:paraId="150778EC" w14:textId="3818BC49" w:rsidR="00816196" w:rsidRPr="004D6136" w:rsidRDefault="00AA3BD3"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compatibil</w:t>
            </w:r>
          </w:p>
        </w:tc>
        <w:tc>
          <w:tcPr>
            <w:tcW w:w="1261" w:type="pct"/>
          </w:tcPr>
          <w:p w14:paraId="5AB6C35C" w14:textId="77777777"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p>
        </w:tc>
      </w:tr>
      <w:tr w:rsidR="00816196" w:rsidRPr="004D6136" w14:paraId="0B1B246B" w14:textId="77777777" w:rsidTr="00E42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2E1C06D4" w14:textId="3D6A19CF"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(6)   În cazul în care contabilizarea vânzării pentru o tranzacție de răscumpărare se efectuează în temeiul cadrului contabil aplicabil, instituția reia toate înregistrările contabile legate de vânzare.</w:t>
            </w:r>
          </w:p>
        </w:tc>
        <w:tc>
          <w:tcPr>
            <w:tcW w:w="1557" w:type="pct"/>
            <w:shd w:val="clear" w:color="auto" w:fill="auto"/>
          </w:tcPr>
          <w:p w14:paraId="043EC5F7" w14:textId="5A4DEDCD" w:rsidR="00816196" w:rsidRPr="004D6136" w:rsidRDefault="00C7336D"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59</w:t>
            </w:r>
            <w:r w:rsidR="00816196" w:rsidRPr="004D6136">
              <w:rPr>
                <w:rFonts w:ascii="Times New Roman" w:hAnsi="Times New Roman" w:cs="Times New Roman"/>
                <w:bCs/>
                <w:color w:val="000000" w:themeColor="text1"/>
                <w:lang w:val="ro-MD"/>
              </w:rPr>
              <w:t>.   În cazul în care contabilizarea vânzării pentru o tranzacție de răscumpărare se efectuează în temeiul cadrului contabil aplicabil, banca reia toate înregistrările contabile legate de vânzare.</w:t>
            </w:r>
          </w:p>
        </w:tc>
        <w:tc>
          <w:tcPr>
            <w:tcW w:w="585" w:type="pct"/>
          </w:tcPr>
          <w:p w14:paraId="773D4B20" w14:textId="79845762" w:rsidR="00816196" w:rsidRPr="004D6136" w:rsidRDefault="00AA3BD3"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compatibil</w:t>
            </w:r>
          </w:p>
        </w:tc>
        <w:tc>
          <w:tcPr>
            <w:tcW w:w="1261" w:type="pct"/>
          </w:tcPr>
          <w:p w14:paraId="057805E3" w14:textId="77777777"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p>
        </w:tc>
      </w:tr>
      <w:tr w:rsidR="00816196" w:rsidRPr="004D6136" w14:paraId="60C77E2B" w14:textId="77777777" w:rsidTr="00E42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66380CBE" w14:textId="77777777"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(7)   În cazul în care o instituție acționează ca agent între două părți în cadrul unei operațiuni de finanțare prin titluri de valoare, inclusiv al unei tranzacții </w:t>
            </w:r>
            <w:proofErr w:type="spellStart"/>
            <w:r w:rsidRPr="004D6136">
              <w:rPr>
                <w:rFonts w:ascii="Times New Roman" w:hAnsi="Times New Roman" w:cs="Times New Roman"/>
                <w:bCs/>
                <w:color w:val="000000" w:themeColor="text1"/>
                <w:lang w:val="ro-MD"/>
              </w:rPr>
              <w:t>extrabilanțiere</w:t>
            </w:r>
            <w:proofErr w:type="spellEnd"/>
            <w:r w:rsidRPr="004D6136">
              <w:rPr>
                <w:rFonts w:ascii="Times New Roman" w:hAnsi="Times New Roman" w:cs="Times New Roman"/>
                <w:bCs/>
                <w:color w:val="000000" w:themeColor="text1"/>
                <w:lang w:val="ro-MD"/>
              </w:rPr>
              <w:t>, se aplică următoarele dispoziții pentru calcularea indicatorului de măsurare a expunerii totale al instituției:</w:t>
            </w:r>
          </w:p>
          <w:p w14:paraId="4A50EA16" w14:textId="23DF77D7"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(a) în cazul în care instituția pune la dispoziția uneia dintre părțile la operațiunea de finanțare prin titluri de </w:t>
            </w:r>
            <w:r w:rsidRPr="004D6136">
              <w:rPr>
                <w:rFonts w:ascii="Times New Roman" w:hAnsi="Times New Roman" w:cs="Times New Roman"/>
                <w:bCs/>
                <w:color w:val="000000" w:themeColor="text1"/>
                <w:lang w:val="ro-MD"/>
              </w:rPr>
              <w:lastRenderedPageBreak/>
              <w:t>valoare o indemnizație sau o garanție, iar indemnizația sau garanția se limitează la diferența – oricare ar fi aceasta – dintre valoarea titlului de valoare sau a sumei în numerar pe care partea a dat-o cu împrumut și valoarea garanției reale pe care debitorul a furnizat-o, instituția include, în indicatorul de măsurare a expunerii totale, numai majorarea calculată în conformitate cu alineatul (2) sau (3), după caz;</w:t>
            </w:r>
          </w:p>
          <w:p w14:paraId="0230C3C9" w14:textId="4F053DA9"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(b) în cazul în care instituția nu furnizează niciuneia dintre părțile implicate o indemnizație sau o garanție, tranzacția nu este inclusă în indicatorul de măsurare a expunerii totale;</w:t>
            </w:r>
          </w:p>
          <w:p w14:paraId="745860C5" w14:textId="171B4BF9"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(c) în cazul în care instituția este expusă din punct de vedere economic titlului de valoare suport sau numerarului implicat în tranzacție cu o sumă mai mare decât expunerea acoperită de majorare, aceasta include în indicatorul de măsurare a expunerii totale, de asemenea, cuantumul total al titlului sau al numerarului la care este expusă;</w:t>
            </w:r>
          </w:p>
          <w:p w14:paraId="1A7CE205" w14:textId="44B1DEFE"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(d) în cazul în care instituția care acționează în calitate de agent pune la dispoziția ambelor părți implicate într-o operațiune de finanțare prin titluri de valoare o indemnizație sau o garanție, instituția își calculează </w:t>
            </w:r>
            <w:r w:rsidRPr="004D6136">
              <w:rPr>
                <w:rFonts w:ascii="Times New Roman" w:hAnsi="Times New Roman" w:cs="Times New Roman"/>
                <w:bCs/>
                <w:color w:val="000000" w:themeColor="text1"/>
                <w:lang w:val="ro-MD"/>
              </w:rPr>
              <w:lastRenderedPageBreak/>
              <w:t>indicatorul de măsurare a expunerii totale în conformitate cu literele (a), (b) și (c), separat pentru fiecare parte implicată în tranzacție.</w:t>
            </w:r>
          </w:p>
        </w:tc>
        <w:tc>
          <w:tcPr>
            <w:tcW w:w="1557" w:type="pct"/>
            <w:shd w:val="clear" w:color="auto" w:fill="auto"/>
          </w:tcPr>
          <w:p w14:paraId="7B99E3CE" w14:textId="33DACC92" w:rsidR="00816196" w:rsidRPr="004D6136" w:rsidRDefault="00C7336D"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60</w:t>
            </w:r>
            <w:r w:rsidR="00816196" w:rsidRPr="004D6136">
              <w:rPr>
                <w:rFonts w:ascii="Times New Roman" w:hAnsi="Times New Roman" w:cs="Times New Roman"/>
                <w:bCs/>
                <w:color w:val="000000" w:themeColor="text1"/>
                <w:lang w:val="ro-MD"/>
              </w:rPr>
              <w:t xml:space="preserve">.   În cazul în care o bancă acționează ca agent între două părți în cadrul unei operațiuni de finanțare prin titluri de valoare, inclusiv al unei tranzacții </w:t>
            </w:r>
            <w:proofErr w:type="spellStart"/>
            <w:r w:rsidR="00816196" w:rsidRPr="004D6136">
              <w:rPr>
                <w:rFonts w:ascii="Times New Roman" w:hAnsi="Times New Roman" w:cs="Times New Roman"/>
                <w:bCs/>
                <w:color w:val="000000" w:themeColor="text1"/>
                <w:lang w:val="ro-MD"/>
              </w:rPr>
              <w:t>extrabilanțiere</w:t>
            </w:r>
            <w:proofErr w:type="spellEnd"/>
            <w:r w:rsidR="00816196" w:rsidRPr="004D6136">
              <w:rPr>
                <w:rFonts w:ascii="Times New Roman" w:hAnsi="Times New Roman" w:cs="Times New Roman"/>
                <w:bCs/>
                <w:color w:val="000000" w:themeColor="text1"/>
                <w:lang w:val="ro-MD"/>
              </w:rPr>
              <w:t>, se aplică următoarele dispoziții pentru calcularea indicatorului de măsurare a expunerii totale al băncii:</w:t>
            </w:r>
          </w:p>
          <w:p w14:paraId="59C556F0" w14:textId="051484D0" w:rsidR="00816196" w:rsidRPr="004D6136" w:rsidRDefault="00C7336D"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60.1.</w:t>
            </w:r>
            <w:r w:rsidR="00816196" w:rsidRPr="004D6136">
              <w:rPr>
                <w:rFonts w:ascii="Times New Roman" w:hAnsi="Times New Roman" w:cs="Times New Roman"/>
                <w:bCs/>
                <w:color w:val="000000" w:themeColor="text1"/>
                <w:lang w:val="ro-MD"/>
              </w:rPr>
              <w:t xml:space="preserve"> în cazul în care banca pune la dispoziția uneia dintre părțile la operațiunea de finanțare prin titluri </w:t>
            </w:r>
            <w:r w:rsidR="00816196" w:rsidRPr="004D6136">
              <w:rPr>
                <w:rFonts w:ascii="Times New Roman" w:hAnsi="Times New Roman" w:cs="Times New Roman"/>
                <w:bCs/>
                <w:color w:val="000000" w:themeColor="text1"/>
                <w:lang w:val="ro-MD"/>
              </w:rPr>
              <w:lastRenderedPageBreak/>
              <w:t>de valoare o indemnizație sau o garanție, iar indemnizația sau garanția se limitează la diferența – oricare ar fi aceasta – dintre valoarea titlului de valoare sau a sumei în numerar pe care partea a dat-o cu împrumut și valoarea garanției reale pe care debitorul a furnizat-o, banca include, în indicatorul de măsurare a expunerii totale, numai majorarea calculată în conformitate cu</w:t>
            </w:r>
            <w:r w:rsidRPr="004D6136">
              <w:rPr>
                <w:rFonts w:ascii="Times New Roman" w:hAnsi="Times New Roman" w:cs="Times New Roman"/>
                <w:bCs/>
                <w:color w:val="000000" w:themeColor="text1"/>
                <w:lang w:val="ro-MD"/>
              </w:rPr>
              <w:t xml:space="preserve"> </w:t>
            </w:r>
            <w:r w:rsidR="00816196" w:rsidRPr="004D6136">
              <w:rPr>
                <w:rFonts w:ascii="Times New Roman" w:hAnsi="Times New Roman" w:cs="Times New Roman"/>
                <w:bCs/>
                <w:color w:val="000000" w:themeColor="text1"/>
                <w:lang w:val="ro-MD"/>
              </w:rPr>
              <w:t>pct.</w:t>
            </w:r>
            <w:r w:rsidRPr="004D6136">
              <w:rPr>
                <w:rFonts w:ascii="Times New Roman" w:hAnsi="Times New Roman" w:cs="Times New Roman"/>
                <w:bCs/>
                <w:color w:val="000000" w:themeColor="text1"/>
                <w:lang w:val="ro-MD"/>
              </w:rPr>
              <w:t xml:space="preserve">55 </w:t>
            </w:r>
            <w:r w:rsidR="00816196" w:rsidRPr="004D6136">
              <w:rPr>
                <w:rFonts w:ascii="Times New Roman" w:hAnsi="Times New Roman" w:cs="Times New Roman"/>
                <w:bCs/>
                <w:color w:val="000000" w:themeColor="text1"/>
                <w:lang w:val="ro-MD"/>
              </w:rPr>
              <w:t xml:space="preserve">sau </w:t>
            </w:r>
            <w:r w:rsidRPr="004D6136">
              <w:rPr>
                <w:rFonts w:ascii="Times New Roman" w:hAnsi="Times New Roman" w:cs="Times New Roman"/>
                <w:bCs/>
                <w:color w:val="000000" w:themeColor="text1"/>
                <w:lang w:val="ro-MD"/>
              </w:rPr>
              <w:t>56</w:t>
            </w:r>
            <w:r w:rsidR="00816196" w:rsidRPr="004D6136">
              <w:rPr>
                <w:rFonts w:ascii="Times New Roman" w:hAnsi="Times New Roman" w:cs="Times New Roman"/>
                <w:bCs/>
                <w:color w:val="000000" w:themeColor="text1"/>
                <w:lang w:val="ro-MD"/>
              </w:rPr>
              <w:t>, după caz;</w:t>
            </w:r>
          </w:p>
          <w:p w14:paraId="02A50DD5" w14:textId="1D4305D0" w:rsidR="00816196" w:rsidRPr="004D6136" w:rsidRDefault="00C7336D"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60.2.</w:t>
            </w:r>
            <w:r w:rsidR="00816196" w:rsidRPr="004D6136">
              <w:rPr>
                <w:rFonts w:ascii="Times New Roman" w:hAnsi="Times New Roman" w:cs="Times New Roman"/>
                <w:bCs/>
                <w:color w:val="000000" w:themeColor="text1"/>
                <w:lang w:val="ro-MD"/>
              </w:rPr>
              <w:t xml:space="preserve"> în cazul în care banca nu furnizează niciuneia dintre părțile implicate o indemnizație sau o garanție, tranzacția nu este inclusă în indicatorul de măsurare a expunerii totale;</w:t>
            </w:r>
          </w:p>
          <w:p w14:paraId="1110534A" w14:textId="3005D7AA" w:rsidR="00816196" w:rsidRPr="004D6136" w:rsidRDefault="00C7336D"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60.3.</w:t>
            </w:r>
            <w:r w:rsidR="00816196" w:rsidRPr="004D6136">
              <w:rPr>
                <w:rFonts w:ascii="Times New Roman" w:hAnsi="Times New Roman" w:cs="Times New Roman"/>
                <w:bCs/>
                <w:color w:val="000000" w:themeColor="text1"/>
                <w:lang w:val="ro-MD"/>
              </w:rPr>
              <w:t xml:space="preserve"> în cazul în care banca este expusă din punct de vedere economic titlului de valoare suport sau numerarului implicat în tranzacție cu o sumă mai mare decât expunerea acoperită de majorare, aceasta include în indicatorul de măsurare a expunerii totale, de asemenea, cuantumul total al titlului sau al numerarului la care este expusă;</w:t>
            </w:r>
          </w:p>
          <w:p w14:paraId="43F7AC9D" w14:textId="5765F074" w:rsidR="00816196" w:rsidRPr="004D6136" w:rsidRDefault="00C7336D"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60.4.</w:t>
            </w:r>
            <w:r w:rsidR="00816196" w:rsidRPr="004D6136">
              <w:rPr>
                <w:rFonts w:ascii="Times New Roman" w:hAnsi="Times New Roman" w:cs="Times New Roman"/>
                <w:bCs/>
                <w:color w:val="000000" w:themeColor="text1"/>
                <w:lang w:val="ro-MD"/>
              </w:rPr>
              <w:t xml:space="preserve"> în cazul în care banca care acționează în calitate de agent pune la dispoziția ambelor părți implicate într-o operațiune de finanțare prin titluri de valoare o indemnizație sau o garanție, banca își calculează indicatorul de măsurare a expunerii totale </w:t>
            </w:r>
            <w:r w:rsidR="00816196" w:rsidRPr="004D6136">
              <w:rPr>
                <w:rFonts w:ascii="Times New Roman" w:hAnsi="Times New Roman" w:cs="Times New Roman"/>
                <w:bCs/>
                <w:color w:val="000000" w:themeColor="text1"/>
                <w:lang w:val="ro-MD"/>
              </w:rPr>
              <w:lastRenderedPageBreak/>
              <w:t>în conformitate cu</w:t>
            </w:r>
            <w:r w:rsidRPr="004D6136">
              <w:rPr>
                <w:rFonts w:ascii="Times New Roman" w:hAnsi="Times New Roman" w:cs="Times New Roman"/>
                <w:bCs/>
                <w:color w:val="000000" w:themeColor="text1"/>
                <w:lang w:val="ro-MD"/>
              </w:rPr>
              <w:t xml:space="preserve"> </w:t>
            </w:r>
            <w:r w:rsidR="00816196" w:rsidRPr="004D6136">
              <w:rPr>
                <w:rFonts w:ascii="Times New Roman" w:hAnsi="Times New Roman" w:cs="Times New Roman"/>
                <w:bCs/>
                <w:color w:val="000000" w:themeColor="text1"/>
                <w:lang w:val="ro-MD"/>
              </w:rPr>
              <w:t>subpct.</w:t>
            </w:r>
            <w:r w:rsidRPr="004D6136">
              <w:rPr>
                <w:rFonts w:ascii="Times New Roman" w:hAnsi="Times New Roman" w:cs="Times New Roman"/>
                <w:bCs/>
                <w:color w:val="000000" w:themeColor="text1"/>
                <w:lang w:val="ro-MD"/>
              </w:rPr>
              <w:t>60.1-60.3</w:t>
            </w:r>
            <w:r w:rsidR="00816196" w:rsidRPr="004D6136">
              <w:rPr>
                <w:rFonts w:ascii="Times New Roman" w:hAnsi="Times New Roman" w:cs="Times New Roman"/>
                <w:bCs/>
                <w:color w:val="000000" w:themeColor="text1"/>
                <w:lang w:val="ro-MD"/>
              </w:rPr>
              <w:t>, separat pentru fiecare parte implicată în tranzacție.</w:t>
            </w:r>
          </w:p>
        </w:tc>
        <w:tc>
          <w:tcPr>
            <w:tcW w:w="585" w:type="pct"/>
          </w:tcPr>
          <w:p w14:paraId="0FA5D1DD" w14:textId="63E5E4D4" w:rsidR="00816196" w:rsidRPr="004D6136" w:rsidRDefault="00AA3BD3"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compatibil</w:t>
            </w:r>
          </w:p>
        </w:tc>
        <w:tc>
          <w:tcPr>
            <w:tcW w:w="1261" w:type="pct"/>
          </w:tcPr>
          <w:p w14:paraId="6770C20E" w14:textId="77777777"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p>
        </w:tc>
      </w:tr>
      <w:tr w:rsidR="00816196" w:rsidRPr="004D6136" w14:paraId="70F3E8F2" w14:textId="77777777" w:rsidTr="000A2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18768F96" w14:textId="206FB7D1" w:rsidR="00816196" w:rsidRPr="004D6136" w:rsidRDefault="00816196" w:rsidP="00816196">
            <w:pPr>
              <w:shd w:val="clear" w:color="auto" w:fill="FFFFFF"/>
              <w:spacing w:after="0" w:line="312" w:lineRule="atLeast"/>
              <w:rPr>
                <w:rFonts w:ascii="Times New Roman" w:hAnsi="Times New Roman" w:cs="Times New Roman"/>
                <w:b/>
                <w:color w:val="000000" w:themeColor="text1"/>
                <w:lang w:val="ro-MD"/>
              </w:rPr>
            </w:pPr>
            <w:r w:rsidRPr="004D6136">
              <w:rPr>
                <w:rFonts w:ascii="Times New Roman" w:hAnsi="Times New Roman" w:cs="Times New Roman"/>
                <w:b/>
                <w:color w:val="000000" w:themeColor="text1"/>
                <w:lang w:val="ro-MD"/>
              </w:rPr>
              <w:lastRenderedPageBreak/>
              <w:t>Articolul 429f</w:t>
            </w:r>
          </w:p>
          <w:p w14:paraId="0415C6D1" w14:textId="176F35CD"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
                <w:color w:val="000000" w:themeColor="text1"/>
                <w:lang w:val="ro-MD"/>
              </w:rPr>
              <w:t xml:space="preserve">Calculul valorii expunerii elementelor </w:t>
            </w:r>
            <w:proofErr w:type="spellStart"/>
            <w:r w:rsidRPr="004D6136">
              <w:rPr>
                <w:rFonts w:ascii="Times New Roman" w:hAnsi="Times New Roman" w:cs="Times New Roman"/>
                <w:b/>
                <w:color w:val="000000" w:themeColor="text1"/>
                <w:lang w:val="ro-MD"/>
              </w:rPr>
              <w:t>extrabilanțiere</w:t>
            </w:r>
            <w:proofErr w:type="spellEnd"/>
          </w:p>
        </w:tc>
        <w:tc>
          <w:tcPr>
            <w:tcW w:w="1557" w:type="pct"/>
          </w:tcPr>
          <w:p w14:paraId="331B6E1E" w14:textId="483B727D" w:rsidR="00816196" w:rsidRPr="004D6136" w:rsidRDefault="00816196" w:rsidP="00816196">
            <w:pPr>
              <w:shd w:val="clear" w:color="auto" w:fill="FFFFFF"/>
              <w:spacing w:after="0" w:line="312" w:lineRule="atLeast"/>
              <w:rPr>
                <w:rFonts w:ascii="Times New Roman" w:hAnsi="Times New Roman" w:cs="Times New Roman"/>
                <w:b/>
                <w:color w:val="000000" w:themeColor="text1"/>
                <w:lang w:val="ro-MD"/>
              </w:rPr>
            </w:pPr>
            <w:bookmarkStart w:id="21" w:name="_Hlk188368019"/>
            <w:r w:rsidRPr="004D6136">
              <w:rPr>
                <w:rFonts w:ascii="Times New Roman" w:hAnsi="Times New Roman" w:cs="Times New Roman"/>
                <w:b/>
                <w:color w:val="000000" w:themeColor="text1"/>
                <w:lang w:val="ro-MD"/>
              </w:rPr>
              <w:t>Secțiunea 8</w:t>
            </w:r>
          </w:p>
          <w:p w14:paraId="5278FABE" w14:textId="2BA40D0A" w:rsidR="00816196" w:rsidRPr="004D6136" w:rsidRDefault="00816196" w:rsidP="00816196">
            <w:pPr>
              <w:shd w:val="clear" w:color="auto" w:fill="FFFFFF"/>
              <w:spacing w:after="0" w:line="312" w:lineRule="atLeast"/>
              <w:rPr>
                <w:rFonts w:ascii="Times New Roman" w:hAnsi="Times New Roman" w:cs="Times New Roman"/>
                <w:b/>
                <w:color w:val="000000" w:themeColor="text1"/>
                <w:lang w:val="ro-MD"/>
              </w:rPr>
            </w:pPr>
            <w:r w:rsidRPr="004D6136">
              <w:rPr>
                <w:rFonts w:ascii="Times New Roman" w:hAnsi="Times New Roman" w:cs="Times New Roman"/>
                <w:b/>
                <w:color w:val="000000" w:themeColor="text1"/>
                <w:lang w:val="ro-MD"/>
              </w:rPr>
              <w:t xml:space="preserve">Calculul valorii expunerii elementelor </w:t>
            </w:r>
            <w:proofErr w:type="spellStart"/>
            <w:r w:rsidRPr="004D6136">
              <w:rPr>
                <w:rFonts w:ascii="Times New Roman" w:hAnsi="Times New Roman" w:cs="Times New Roman"/>
                <w:b/>
                <w:color w:val="000000" w:themeColor="text1"/>
                <w:lang w:val="ro-MD"/>
              </w:rPr>
              <w:t>extrabilanțiere</w:t>
            </w:r>
            <w:bookmarkEnd w:id="21"/>
            <w:proofErr w:type="spellEnd"/>
          </w:p>
        </w:tc>
        <w:tc>
          <w:tcPr>
            <w:tcW w:w="585" w:type="pct"/>
          </w:tcPr>
          <w:p w14:paraId="06383B6B" w14:textId="77777777"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p>
        </w:tc>
        <w:tc>
          <w:tcPr>
            <w:tcW w:w="1261" w:type="pct"/>
          </w:tcPr>
          <w:p w14:paraId="364C3D08" w14:textId="77777777"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p>
        </w:tc>
      </w:tr>
      <w:tr w:rsidR="00816196" w:rsidRPr="004D6136" w14:paraId="58204D63" w14:textId="77777777" w:rsidTr="000019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0E77F282" w14:textId="77777777"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
                <w:color w:val="000000" w:themeColor="text1"/>
                <w:lang w:val="ro-MD"/>
              </w:rPr>
              <w:t>▼M17</w:t>
            </w:r>
          </w:p>
          <w:p w14:paraId="3AB9407D" w14:textId="542D794F"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(1)   Instituțiile calculează, în conformitate cu articolul 111 alineatul (2), valoarea expunerii elementelor </w:t>
            </w:r>
            <w:proofErr w:type="spellStart"/>
            <w:r w:rsidRPr="004D6136">
              <w:rPr>
                <w:rFonts w:ascii="Times New Roman" w:hAnsi="Times New Roman" w:cs="Times New Roman"/>
                <w:bCs/>
                <w:color w:val="000000" w:themeColor="text1"/>
                <w:lang w:val="ro-MD"/>
              </w:rPr>
              <w:t>extrabilanțiere</w:t>
            </w:r>
            <w:proofErr w:type="spellEnd"/>
            <w:r w:rsidRPr="004D6136">
              <w:rPr>
                <w:rFonts w:ascii="Times New Roman" w:hAnsi="Times New Roman" w:cs="Times New Roman"/>
                <w:bCs/>
                <w:color w:val="000000" w:themeColor="text1"/>
                <w:lang w:val="ro-MD"/>
              </w:rPr>
              <w:t>, exceptând contractele derivate enumerate în anexa II, instrumentele financiare derivate de credit, operațiunile de finanțare prin instrumente financiare  și pozițiile menționate la articolul 429d.</w:t>
            </w:r>
          </w:p>
          <w:p w14:paraId="2719F7B0" w14:textId="0DC9B63D"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În cazul în care un angajament se referă la prelungirea unui alt element </w:t>
            </w:r>
            <w:proofErr w:type="spellStart"/>
            <w:r w:rsidRPr="004D6136">
              <w:rPr>
                <w:rFonts w:ascii="Times New Roman" w:hAnsi="Times New Roman" w:cs="Times New Roman"/>
                <w:bCs/>
                <w:color w:val="000000" w:themeColor="text1"/>
                <w:lang w:val="ro-MD"/>
              </w:rPr>
              <w:t>extrabilanțier</w:t>
            </w:r>
            <w:proofErr w:type="spellEnd"/>
            <w:r w:rsidRPr="004D6136">
              <w:rPr>
                <w:rFonts w:ascii="Times New Roman" w:hAnsi="Times New Roman" w:cs="Times New Roman"/>
                <w:bCs/>
                <w:color w:val="000000" w:themeColor="text1"/>
                <w:lang w:val="ro-MD"/>
              </w:rPr>
              <w:t>, se aplică articolul 111 alineatul (3).</w:t>
            </w:r>
          </w:p>
        </w:tc>
        <w:tc>
          <w:tcPr>
            <w:tcW w:w="1557" w:type="pct"/>
            <w:shd w:val="clear" w:color="auto" w:fill="auto"/>
          </w:tcPr>
          <w:p w14:paraId="7BDA48FF" w14:textId="7CC67139" w:rsidR="00816196" w:rsidRPr="004D6136" w:rsidRDefault="00C7336D"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61</w:t>
            </w:r>
            <w:r w:rsidR="00816196" w:rsidRPr="004D6136">
              <w:rPr>
                <w:rFonts w:ascii="Times New Roman" w:hAnsi="Times New Roman" w:cs="Times New Roman"/>
                <w:bCs/>
                <w:color w:val="000000" w:themeColor="text1"/>
                <w:lang w:val="ro-MD"/>
              </w:rPr>
              <w:t>.   Băncile calculează, în conformitate cu</w:t>
            </w:r>
            <w:r w:rsidRPr="004D6136">
              <w:rPr>
                <w:rFonts w:ascii="Times New Roman" w:hAnsi="Times New Roman" w:cs="Times New Roman"/>
                <w:bCs/>
                <w:color w:val="000000" w:themeColor="text1"/>
                <w:lang w:val="ro-MD"/>
              </w:rPr>
              <w:t xml:space="preserve"> </w:t>
            </w:r>
            <w:r w:rsidR="00816196" w:rsidRPr="004D6136">
              <w:rPr>
                <w:rFonts w:ascii="Times New Roman" w:hAnsi="Times New Roman" w:cs="Times New Roman"/>
                <w:bCs/>
                <w:color w:val="000000" w:themeColor="text1"/>
                <w:lang w:val="ro-MD"/>
              </w:rPr>
              <w:t>pct.8</w:t>
            </w:r>
            <w:r w:rsidR="00816196" w:rsidRPr="004D6136">
              <w:rPr>
                <w:rFonts w:ascii="Times New Roman" w:hAnsi="Times New Roman" w:cs="Times New Roman"/>
                <w:bCs/>
                <w:color w:val="000000" w:themeColor="text1"/>
                <w:vertAlign w:val="superscript"/>
                <w:lang w:val="ro-MD"/>
              </w:rPr>
              <w:t>1</w:t>
            </w:r>
            <w:r w:rsidR="00816196" w:rsidRPr="004D6136">
              <w:rPr>
                <w:rFonts w:ascii="Times New Roman" w:hAnsi="Times New Roman" w:cs="Times New Roman"/>
                <w:bCs/>
                <w:color w:val="000000" w:themeColor="text1"/>
                <w:lang w:val="ro-MD"/>
              </w:rPr>
              <w:t xml:space="preserve">-9 din Regulamentul nr.111/2018, valoarea expunerii elementelor </w:t>
            </w:r>
            <w:proofErr w:type="spellStart"/>
            <w:r w:rsidR="00816196" w:rsidRPr="004D6136">
              <w:rPr>
                <w:rFonts w:ascii="Times New Roman" w:hAnsi="Times New Roman" w:cs="Times New Roman"/>
                <w:bCs/>
                <w:color w:val="000000" w:themeColor="text1"/>
                <w:lang w:val="ro-MD"/>
              </w:rPr>
              <w:t>extrabilanțiere</w:t>
            </w:r>
            <w:proofErr w:type="spellEnd"/>
            <w:r w:rsidR="00816196" w:rsidRPr="004D6136">
              <w:rPr>
                <w:rFonts w:ascii="Times New Roman" w:hAnsi="Times New Roman" w:cs="Times New Roman"/>
                <w:bCs/>
                <w:color w:val="000000" w:themeColor="text1"/>
                <w:lang w:val="ro-MD"/>
              </w:rPr>
              <w:t>, exceptând contractele derivate enumerate în anexa nr.1 din Regulamentul nr.114/2018, instrumentele financiare derivate de credit, operațiunile de finanțare prin instrumente financiare  și pozițiile menționate la secțiunea 6.</w:t>
            </w:r>
          </w:p>
          <w:p w14:paraId="2A3FD768" w14:textId="69DD984B" w:rsidR="00816196" w:rsidRPr="004D6136" w:rsidRDefault="00C7336D"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62</w:t>
            </w:r>
            <w:r w:rsidR="00816196" w:rsidRPr="004D6136">
              <w:rPr>
                <w:rFonts w:ascii="Times New Roman" w:hAnsi="Times New Roman" w:cs="Times New Roman"/>
                <w:bCs/>
                <w:color w:val="000000" w:themeColor="text1"/>
                <w:lang w:val="ro-MD"/>
              </w:rPr>
              <w:t xml:space="preserve">. În cazul în care un angajament se referă la prelungirea unui alt element </w:t>
            </w:r>
            <w:proofErr w:type="spellStart"/>
            <w:r w:rsidR="00816196" w:rsidRPr="004D6136">
              <w:rPr>
                <w:rFonts w:ascii="Times New Roman" w:hAnsi="Times New Roman" w:cs="Times New Roman"/>
                <w:bCs/>
                <w:color w:val="000000" w:themeColor="text1"/>
                <w:lang w:val="ro-MD"/>
              </w:rPr>
              <w:t>extrabilanțier</w:t>
            </w:r>
            <w:proofErr w:type="spellEnd"/>
            <w:r w:rsidR="00816196" w:rsidRPr="004D6136">
              <w:rPr>
                <w:rFonts w:ascii="Times New Roman" w:hAnsi="Times New Roman" w:cs="Times New Roman"/>
                <w:bCs/>
                <w:color w:val="000000" w:themeColor="text1"/>
                <w:lang w:val="ro-MD"/>
              </w:rPr>
              <w:t>, se aplică pct.10 din Regulamentul nr.111/2018.</w:t>
            </w:r>
          </w:p>
        </w:tc>
        <w:tc>
          <w:tcPr>
            <w:tcW w:w="585" w:type="pct"/>
          </w:tcPr>
          <w:p w14:paraId="6E377AA8" w14:textId="7827206E" w:rsidR="00816196" w:rsidRPr="004D6136" w:rsidRDefault="00AA3BD3"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compatibil</w:t>
            </w:r>
          </w:p>
        </w:tc>
        <w:tc>
          <w:tcPr>
            <w:tcW w:w="1261" w:type="pct"/>
          </w:tcPr>
          <w:p w14:paraId="616982FA" w14:textId="77777777"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p>
        </w:tc>
      </w:tr>
      <w:tr w:rsidR="00816196" w:rsidRPr="004D6136" w14:paraId="2EC6F9BA" w14:textId="77777777" w:rsidTr="000019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05A3E8E9" w14:textId="77777777" w:rsidR="00A63619" w:rsidRPr="004D6136" w:rsidRDefault="00A63619"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
                <w:bCs/>
                <w:color w:val="000000" w:themeColor="text1"/>
                <w:lang w:val="ro-MD"/>
              </w:rPr>
              <w:t>▼M8</w:t>
            </w:r>
            <w:r w:rsidRPr="004D6136">
              <w:rPr>
                <w:rFonts w:ascii="Times New Roman" w:hAnsi="Times New Roman" w:cs="Times New Roman"/>
                <w:bCs/>
                <w:color w:val="000000" w:themeColor="text1"/>
                <w:lang w:val="ro-MD"/>
              </w:rPr>
              <w:t xml:space="preserve"> </w:t>
            </w:r>
          </w:p>
          <w:p w14:paraId="41CEF7F9" w14:textId="3C257FC8"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(2)   Prin derogare de la alineatul (1), instituțiile pot reduce cuantumul echivalent expunerii din credite al unui element </w:t>
            </w:r>
            <w:proofErr w:type="spellStart"/>
            <w:r w:rsidRPr="004D6136">
              <w:rPr>
                <w:rFonts w:ascii="Times New Roman" w:hAnsi="Times New Roman" w:cs="Times New Roman"/>
                <w:bCs/>
                <w:color w:val="000000" w:themeColor="text1"/>
                <w:lang w:val="ro-MD"/>
              </w:rPr>
              <w:t>extrabilanțier</w:t>
            </w:r>
            <w:proofErr w:type="spellEnd"/>
            <w:r w:rsidRPr="004D6136">
              <w:rPr>
                <w:rFonts w:ascii="Times New Roman" w:hAnsi="Times New Roman" w:cs="Times New Roman"/>
                <w:bCs/>
                <w:color w:val="000000" w:themeColor="text1"/>
                <w:lang w:val="ro-MD"/>
              </w:rPr>
              <w:t xml:space="preserve"> cu suma corespunzătoare a ajustărilor specifice pentru riscul de credit. Calculul este supus unui prag egal cu zero.</w:t>
            </w:r>
          </w:p>
        </w:tc>
        <w:tc>
          <w:tcPr>
            <w:tcW w:w="1557" w:type="pct"/>
            <w:shd w:val="clear" w:color="auto" w:fill="auto"/>
          </w:tcPr>
          <w:p w14:paraId="3C0BEA8B" w14:textId="6DE69B54" w:rsidR="00816196" w:rsidRPr="004D6136" w:rsidRDefault="00C7336D"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63</w:t>
            </w:r>
            <w:r w:rsidR="00816196" w:rsidRPr="004D6136">
              <w:rPr>
                <w:rFonts w:ascii="Times New Roman" w:hAnsi="Times New Roman" w:cs="Times New Roman"/>
                <w:bCs/>
                <w:color w:val="000000" w:themeColor="text1"/>
                <w:lang w:val="ro-MD"/>
              </w:rPr>
              <w:t>.   Prin derogare de la</w:t>
            </w:r>
            <w:r w:rsidRPr="004D6136">
              <w:rPr>
                <w:rFonts w:ascii="Times New Roman" w:hAnsi="Times New Roman" w:cs="Times New Roman"/>
                <w:bCs/>
                <w:color w:val="000000" w:themeColor="text1"/>
                <w:lang w:val="ro-MD"/>
              </w:rPr>
              <w:t xml:space="preserve"> </w:t>
            </w:r>
            <w:r w:rsidR="00816196" w:rsidRPr="004D6136">
              <w:rPr>
                <w:rFonts w:ascii="Times New Roman" w:hAnsi="Times New Roman" w:cs="Times New Roman"/>
                <w:bCs/>
                <w:color w:val="000000" w:themeColor="text1"/>
                <w:lang w:val="ro-MD"/>
              </w:rPr>
              <w:t>pct.</w:t>
            </w:r>
            <w:r w:rsidRPr="004D6136">
              <w:rPr>
                <w:rFonts w:ascii="Times New Roman" w:hAnsi="Times New Roman" w:cs="Times New Roman"/>
                <w:bCs/>
                <w:color w:val="000000" w:themeColor="text1"/>
                <w:lang w:val="ro-MD"/>
              </w:rPr>
              <w:t xml:space="preserve">61 </w:t>
            </w:r>
            <w:r w:rsidR="00816196" w:rsidRPr="004D6136">
              <w:rPr>
                <w:rFonts w:ascii="Times New Roman" w:hAnsi="Times New Roman" w:cs="Times New Roman"/>
                <w:bCs/>
                <w:color w:val="000000" w:themeColor="text1"/>
                <w:lang w:val="ro-MD"/>
              </w:rPr>
              <w:t xml:space="preserve">și </w:t>
            </w:r>
            <w:r w:rsidRPr="004D6136">
              <w:rPr>
                <w:rFonts w:ascii="Times New Roman" w:hAnsi="Times New Roman" w:cs="Times New Roman"/>
                <w:bCs/>
                <w:color w:val="000000" w:themeColor="text1"/>
                <w:lang w:val="ro-MD"/>
              </w:rPr>
              <w:t>62</w:t>
            </w:r>
            <w:r w:rsidR="00816196" w:rsidRPr="004D6136">
              <w:rPr>
                <w:rFonts w:ascii="Times New Roman" w:hAnsi="Times New Roman" w:cs="Times New Roman"/>
                <w:bCs/>
                <w:color w:val="000000" w:themeColor="text1"/>
                <w:lang w:val="ro-MD"/>
              </w:rPr>
              <w:t xml:space="preserve">, băncile pot reduce cuantumul echivalent expunerii din credite al unui element </w:t>
            </w:r>
            <w:proofErr w:type="spellStart"/>
            <w:r w:rsidR="00816196" w:rsidRPr="004D6136">
              <w:rPr>
                <w:rFonts w:ascii="Times New Roman" w:hAnsi="Times New Roman" w:cs="Times New Roman"/>
                <w:bCs/>
                <w:color w:val="000000" w:themeColor="text1"/>
                <w:lang w:val="ro-MD"/>
              </w:rPr>
              <w:t>extrabilanțier</w:t>
            </w:r>
            <w:proofErr w:type="spellEnd"/>
            <w:r w:rsidR="00816196" w:rsidRPr="004D6136">
              <w:rPr>
                <w:rFonts w:ascii="Times New Roman" w:hAnsi="Times New Roman" w:cs="Times New Roman"/>
                <w:bCs/>
                <w:color w:val="000000" w:themeColor="text1"/>
                <w:lang w:val="ro-MD"/>
              </w:rPr>
              <w:t xml:space="preserve"> cu suma corespunzătoare a ajustărilor specifice pentru riscul de credit. Calculul este supus unui prag egal cu zero.</w:t>
            </w:r>
          </w:p>
        </w:tc>
        <w:tc>
          <w:tcPr>
            <w:tcW w:w="585" w:type="pct"/>
          </w:tcPr>
          <w:p w14:paraId="30319D3B" w14:textId="155B5440" w:rsidR="00816196" w:rsidRPr="004D6136" w:rsidRDefault="00A40233"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compatibil</w:t>
            </w:r>
          </w:p>
        </w:tc>
        <w:tc>
          <w:tcPr>
            <w:tcW w:w="1261" w:type="pct"/>
          </w:tcPr>
          <w:p w14:paraId="7A69A5E4" w14:textId="77777777"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p>
        </w:tc>
      </w:tr>
      <w:tr w:rsidR="00816196" w:rsidRPr="004D6136" w14:paraId="56A06C53" w14:textId="77777777" w:rsidTr="000019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30BDF0ED" w14:textId="77777777"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
                <w:color w:val="000000" w:themeColor="text1"/>
                <w:lang w:val="ro-MD"/>
              </w:rPr>
              <w:lastRenderedPageBreak/>
              <w:t>▼M17</w:t>
            </w:r>
          </w:p>
          <w:p w14:paraId="6F7F51BF" w14:textId="3B9C1EC8"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(3)   Prin derogare de la articolul 495d, instituțiile aplică un factor de conversie de 10 % elementelor </w:t>
            </w:r>
            <w:proofErr w:type="spellStart"/>
            <w:r w:rsidRPr="004D6136">
              <w:rPr>
                <w:rFonts w:ascii="Times New Roman" w:hAnsi="Times New Roman" w:cs="Times New Roman"/>
                <w:bCs/>
                <w:color w:val="000000" w:themeColor="text1"/>
                <w:lang w:val="ro-MD"/>
              </w:rPr>
              <w:t>extrabilanțiere</w:t>
            </w:r>
            <w:proofErr w:type="spellEnd"/>
            <w:r w:rsidRPr="004D6136">
              <w:rPr>
                <w:rFonts w:ascii="Times New Roman" w:hAnsi="Times New Roman" w:cs="Times New Roman"/>
                <w:bCs/>
                <w:color w:val="000000" w:themeColor="text1"/>
                <w:lang w:val="ro-MD"/>
              </w:rPr>
              <w:t xml:space="preserve"> sub formă de angajamente revocabile necondiționat.</w:t>
            </w:r>
          </w:p>
        </w:tc>
        <w:tc>
          <w:tcPr>
            <w:tcW w:w="1557" w:type="pct"/>
            <w:shd w:val="clear" w:color="auto" w:fill="auto"/>
          </w:tcPr>
          <w:p w14:paraId="026FF165" w14:textId="6D032EF0" w:rsidR="00816196" w:rsidRPr="004D6136" w:rsidRDefault="00C7336D"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64</w:t>
            </w:r>
            <w:r w:rsidR="00816196" w:rsidRPr="004D6136">
              <w:rPr>
                <w:rFonts w:ascii="Times New Roman" w:hAnsi="Times New Roman" w:cs="Times New Roman"/>
                <w:bCs/>
                <w:color w:val="000000" w:themeColor="text1"/>
                <w:lang w:val="ro-MD"/>
              </w:rPr>
              <w:t>.   Prin derogare de la pct.</w:t>
            </w:r>
            <w:r w:rsidRPr="004D6136">
              <w:rPr>
                <w:rFonts w:ascii="Times New Roman" w:hAnsi="Times New Roman" w:cs="Times New Roman"/>
                <w:bCs/>
                <w:color w:val="000000" w:themeColor="text1"/>
                <w:lang w:val="ro-MD"/>
              </w:rPr>
              <w:t>61</w:t>
            </w:r>
            <w:r w:rsidR="00816196" w:rsidRPr="004D6136">
              <w:rPr>
                <w:rFonts w:ascii="Times New Roman" w:hAnsi="Times New Roman" w:cs="Times New Roman"/>
                <w:bCs/>
                <w:color w:val="000000" w:themeColor="text1"/>
                <w:lang w:val="ro-MD"/>
              </w:rPr>
              <w:t xml:space="preserve">, băncile aplică un factor de conversie de 10 % elementelor </w:t>
            </w:r>
            <w:proofErr w:type="spellStart"/>
            <w:r w:rsidR="00816196" w:rsidRPr="004D6136">
              <w:rPr>
                <w:rFonts w:ascii="Times New Roman" w:hAnsi="Times New Roman" w:cs="Times New Roman"/>
                <w:bCs/>
                <w:color w:val="000000" w:themeColor="text1"/>
                <w:lang w:val="ro-MD"/>
              </w:rPr>
              <w:t>extrabilanțiere</w:t>
            </w:r>
            <w:proofErr w:type="spellEnd"/>
            <w:r w:rsidR="00816196" w:rsidRPr="004D6136">
              <w:rPr>
                <w:rFonts w:ascii="Times New Roman" w:hAnsi="Times New Roman" w:cs="Times New Roman"/>
                <w:bCs/>
                <w:color w:val="000000" w:themeColor="text1"/>
                <w:lang w:val="ro-MD"/>
              </w:rPr>
              <w:t xml:space="preserve"> sub formă de angajamente revocabile necondiționat.</w:t>
            </w:r>
          </w:p>
        </w:tc>
        <w:tc>
          <w:tcPr>
            <w:tcW w:w="585" w:type="pct"/>
          </w:tcPr>
          <w:p w14:paraId="1B8C5D7A" w14:textId="4115E915" w:rsidR="00816196" w:rsidRPr="004D6136" w:rsidRDefault="00A40233"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compatibil</w:t>
            </w:r>
          </w:p>
        </w:tc>
        <w:tc>
          <w:tcPr>
            <w:tcW w:w="1261" w:type="pct"/>
          </w:tcPr>
          <w:p w14:paraId="72EAC41F" w14:textId="77777777"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p>
        </w:tc>
      </w:tr>
      <w:tr w:rsidR="00816196" w:rsidRPr="004D6136" w14:paraId="01183848" w14:textId="77777777" w:rsidTr="000A2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080CF2F2" w14:textId="77777777" w:rsidR="00A63619" w:rsidRPr="004D6136" w:rsidRDefault="00A63619" w:rsidP="00816196">
            <w:pPr>
              <w:shd w:val="clear" w:color="auto" w:fill="FFFFFF"/>
              <w:spacing w:after="0" w:line="312" w:lineRule="atLeast"/>
              <w:rPr>
                <w:rFonts w:ascii="Times New Roman" w:hAnsi="Times New Roman" w:cs="Times New Roman"/>
                <w:b/>
                <w:bCs/>
                <w:color w:val="000000" w:themeColor="text1"/>
                <w:lang w:val="ro-MD"/>
              </w:rPr>
            </w:pPr>
            <w:r w:rsidRPr="004D6136">
              <w:rPr>
                <w:rFonts w:ascii="Times New Roman" w:hAnsi="Times New Roman" w:cs="Times New Roman"/>
                <w:b/>
                <w:bCs/>
                <w:color w:val="000000" w:themeColor="text1"/>
                <w:lang w:val="ro-MD"/>
              </w:rPr>
              <w:t>▼M8</w:t>
            </w:r>
          </w:p>
          <w:p w14:paraId="2206C40E" w14:textId="115BC122" w:rsidR="00816196" w:rsidRPr="004D6136" w:rsidRDefault="00816196" w:rsidP="00816196">
            <w:pPr>
              <w:shd w:val="clear" w:color="auto" w:fill="FFFFFF"/>
              <w:spacing w:after="0" w:line="312" w:lineRule="atLeast"/>
              <w:rPr>
                <w:rFonts w:ascii="Times New Roman" w:hAnsi="Times New Roman" w:cs="Times New Roman"/>
                <w:b/>
                <w:color w:val="000000" w:themeColor="text1"/>
                <w:lang w:val="ro-MD"/>
              </w:rPr>
            </w:pPr>
            <w:r w:rsidRPr="004D6136">
              <w:rPr>
                <w:rFonts w:ascii="Times New Roman" w:hAnsi="Times New Roman" w:cs="Times New Roman"/>
                <w:b/>
                <w:color w:val="000000" w:themeColor="text1"/>
                <w:lang w:val="ro-MD"/>
              </w:rPr>
              <w:t>Articolul 429g</w:t>
            </w:r>
          </w:p>
          <w:p w14:paraId="1130F416" w14:textId="789C0415"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
                <w:color w:val="000000" w:themeColor="text1"/>
                <w:lang w:val="ro-MD"/>
              </w:rPr>
              <w:t>Calculul valorii expunerii achizițiilor sau vânzărilor standard care urmează a fi decontate</w:t>
            </w:r>
          </w:p>
        </w:tc>
        <w:tc>
          <w:tcPr>
            <w:tcW w:w="1557" w:type="pct"/>
          </w:tcPr>
          <w:p w14:paraId="06EE4C23" w14:textId="283163E2" w:rsidR="00816196" w:rsidRPr="004D6136" w:rsidRDefault="00816196" w:rsidP="00816196">
            <w:pPr>
              <w:shd w:val="clear" w:color="auto" w:fill="FFFFFF"/>
              <w:spacing w:after="0" w:line="312" w:lineRule="atLeast"/>
              <w:rPr>
                <w:rFonts w:ascii="Times New Roman" w:hAnsi="Times New Roman" w:cs="Times New Roman"/>
                <w:b/>
                <w:color w:val="000000" w:themeColor="text1"/>
                <w:lang w:val="ro-MD"/>
              </w:rPr>
            </w:pPr>
            <w:bookmarkStart w:id="22" w:name="_Hlk188368004"/>
            <w:bookmarkStart w:id="23" w:name="_Hlk191452658"/>
            <w:r w:rsidRPr="004D6136">
              <w:rPr>
                <w:rFonts w:ascii="Times New Roman" w:hAnsi="Times New Roman" w:cs="Times New Roman"/>
                <w:b/>
                <w:color w:val="000000" w:themeColor="text1"/>
                <w:lang w:val="ro-MD"/>
              </w:rPr>
              <w:t>Secțiunea 9</w:t>
            </w:r>
          </w:p>
          <w:p w14:paraId="1E10AFAF" w14:textId="09D190F9" w:rsidR="00816196" w:rsidRPr="004D6136" w:rsidRDefault="00816196" w:rsidP="00816196">
            <w:pPr>
              <w:shd w:val="clear" w:color="auto" w:fill="FFFFFF"/>
              <w:spacing w:after="0" w:line="312" w:lineRule="atLeast"/>
              <w:rPr>
                <w:rFonts w:ascii="Times New Roman" w:hAnsi="Times New Roman" w:cs="Times New Roman"/>
                <w:b/>
                <w:color w:val="000000" w:themeColor="text1"/>
                <w:lang w:val="ro-MD"/>
              </w:rPr>
            </w:pPr>
            <w:r w:rsidRPr="004D6136">
              <w:rPr>
                <w:rFonts w:ascii="Times New Roman" w:hAnsi="Times New Roman" w:cs="Times New Roman"/>
                <w:b/>
                <w:color w:val="000000" w:themeColor="text1"/>
                <w:lang w:val="ro-MD"/>
              </w:rPr>
              <w:t>Calculul valorii expunerii achizițiilor sau vânzărilor standard care urmează a fi decontate</w:t>
            </w:r>
            <w:bookmarkEnd w:id="22"/>
            <w:bookmarkEnd w:id="23"/>
          </w:p>
        </w:tc>
        <w:tc>
          <w:tcPr>
            <w:tcW w:w="585" w:type="pct"/>
          </w:tcPr>
          <w:p w14:paraId="01308F31" w14:textId="77777777"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p>
        </w:tc>
        <w:tc>
          <w:tcPr>
            <w:tcW w:w="1261" w:type="pct"/>
          </w:tcPr>
          <w:p w14:paraId="3EF1EA45" w14:textId="77777777"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p>
        </w:tc>
      </w:tr>
      <w:tr w:rsidR="00816196" w:rsidRPr="004D6136" w14:paraId="40DE3793" w14:textId="77777777" w:rsidTr="007E49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33144618" w14:textId="77777777"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
                <w:color w:val="000000" w:themeColor="text1"/>
                <w:lang w:val="ro-MD"/>
              </w:rPr>
              <w:t>▼M17</w:t>
            </w:r>
          </w:p>
          <w:p w14:paraId="1B4E6ABB" w14:textId="6F55A4DD"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(1)   Sumele în numerar aferente achizițiilor standard și activele financiare aferente vânzărilor standard care rămân în bilanțul contabil până la data decontării sunt tratate de instituții drept active în conformitate cu articolul 429 alineatul (4) litera (a).</w:t>
            </w:r>
          </w:p>
        </w:tc>
        <w:tc>
          <w:tcPr>
            <w:tcW w:w="1557" w:type="pct"/>
            <w:shd w:val="clear" w:color="auto" w:fill="auto"/>
          </w:tcPr>
          <w:p w14:paraId="2A613E1C" w14:textId="7E8F7A7D" w:rsidR="00816196" w:rsidRPr="004D6136" w:rsidRDefault="00C7336D"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65</w:t>
            </w:r>
            <w:r w:rsidR="00816196" w:rsidRPr="004D6136">
              <w:rPr>
                <w:rFonts w:ascii="Times New Roman" w:hAnsi="Times New Roman" w:cs="Times New Roman"/>
                <w:bCs/>
                <w:color w:val="000000" w:themeColor="text1"/>
                <w:lang w:val="ro-MD"/>
              </w:rPr>
              <w:t>.   Sumele în numerar aferente achizițiilor standard și activele financiare aferente vânzărilor standard care rămân în bilanțul contabil până la data decontării sunt tratate de bănci drept active în conformitate cu subpct.9.1.</w:t>
            </w:r>
          </w:p>
        </w:tc>
        <w:tc>
          <w:tcPr>
            <w:tcW w:w="585" w:type="pct"/>
          </w:tcPr>
          <w:p w14:paraId="6F987828" w14:textId="67D9C8B3" w:rsidR="00816196" w:rsidRPr="004D6136" w:rsidRDefault="00A40233"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compatibil</w:t>
            </w:r>
          </w:p>
        </w:tc>
        <w:tc>
          <w:tcPr>
            <w:tcW w:w="1261" w:type="pct"/>
          </w:tcPr>
          <w:p w14:paraId="47469B61" w14:textId="77777777"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p>
        </w:tc>
      </w:tr>
      <w:tr w:rsidR="00816196" w:rsidRPr="004D6136" w14:paraId="4CFA2871" w14:textId="77777777" w:rsidTr="007E49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1837175D" w14:textId="77777777" w:rsidR="00A63619" w:rsidRPr="004D6136" w:rsidRDefault="00A63619"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
                <w:bCs/>
                <w:color w:val="000000" w:themeColor="text1"/>
                <w:lang w:val="ro-MD"/>
              </w:rPr>
              <w:t>▼M8</w:t>
            </w:r>
            <w:r w:rsidRPr="004D6136">
              <w:rPr>
                <w:rFonts w:ascii="Times New Roman" w:hAnsi="Times New Roman" w:cs="Times New Roman"/>
                <w:bCs/>
                <w:color w:val="000000" w:themeColor="text1"/>
                <w:lang w:val="ro-MD"/>
              </w:rPr>
              <w:t xml:space="preserve"> </w:t>
            </w:r>
          </w:p>
          <w:p w14:paraId="585121DC" w14:textId="79A709FD"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(2)   Instituțiile care, în conformitate cu cadrul contabil aplicabil, aplică principiul contabilizării la data tranzacționării pentru achizițiile și vânzările standard care urmează a fi decontate reiau orice compensare, permisă în conformitate cu acest cadru, între sumele de încasat în numerar pentru vânzările standard care urmează a fi decontate și sumele de plătit în numerar pentru achizițiile standard care </w:t>
            </w:r>
            <w:r w:rsidRPr="004D6136">
              <w:rPr>
                <w:rFonts w:ascii="Times New Roman" w:hAnsi="Times New Roman" w:cs="Times New Roman"/>
                <w:bCs/>
                <w:color w:val="000000" w:themeColor="text1"/>
                <w:lang w:val="ro-MD"/>
              </w:rPr>
              <w:lastRenderedPageBreak/>
              <w:t>urmează a fi decontate. După ce au reluat compensarea contabilă, instituțiile pot efectua compensări între sumele de încasat în numerar și sumele de plătit în numerar în cazul cărora atât vânzările standard, cât și achizițiile standard aferente sunt decontate pe baza principiului „livrare contra plată”.</w:t>
            </w:r>
          </w:p>
        </w:tc>
        <w:tc>
          <w:tcPr>
            <w:tcW w:w="1557" w:type="pct"/>
            <w:shd w:val="clear" w:color="auto" w:fill="auto"/>
          </w:tcPr>
          <w:p w14:paraId="3B8CE59D" w14:textId="7D2331FC" w:rsidR="00816196" w:rsidRPr="004D6136" w:rsidRDefault="00C7336D"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66</w:t>
            </w:r>
            <w:r w:rsidR="00816196" w:rsidRPr="004D6136">
              <w:rPr>
                <w:rFonts w:ascii="Times New Roman" w:hAnsi="Times New Roman" w:cs="Times New Roman"/>
                <w:bCs/>
                <w:color w:val="000000" w:themeColor="text1"/>
                <w:lang w:val="ro-MD"/>
              </w:rPr>
              <w:t xml:space="preserve">.   Băncile care, în conformitate cu cadrul contabil aplicabil, aplică principiul contabilizării la data tranzacționării pentru achizițiile și vânzările standard care urmează a fi decontate reiau orice compensare, permisă în conformitate cu acest cadru, între sumele de încasat în numerar pentru vânzările standard care urmează a fi decontate și sumele de plătit în numerar pentru achizițiile standard care urmează a fi decontate. După ce au reluat compensarea contabilă, </w:t>
            </w:r>
            <w:r w:rsidR="00816196" w:rsidRPr="004D6136">
              <w:rPr>
                <w:rFonts w:ascii="Times New Roman" w:hAnsi="Times New Roman" w:cs="Times New Roman"/>
                <w:bCs/>
                <w:color w:val="000000" w:themeColor="text1"/>
                <w:lang w:val="ro-MD"/>
              </w:rPr>
              <w:lastRenderedPageBreak/>
              <w:t>băncile pot efectua compensări între sumele de încasat în numerar și sumele de plătit în numerar în cazul cărora atât vânzările standard, cât și achizițiile standard aferente sunt decontate pe baza principiului „livrare contra plată”.</w:t>
            </w:r>
          </w:p>
        </w:tc>
        <w:tc>
          <w:tcPr>
            <w:tcW w:w="585" w:type="pct"/>
          </w:tcPr>
          <w:p w14:paraId="27519912" w14:textId="19C1122C" w:rsidR="00816196" w:rsidRPr="004D6136" w:rsidRDefault="00A40233"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compatibil</w:t>
            </w:r>
          </w:p>
        </w:tc>
        <w:tc>
          <w:tcPr>
            <w:tcW w:w="1261" w:type="pct"/>
          </w:tcPr>
          <w:p w14:paraId="006A03A3" w14:textId="77777777"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p>
        </w:tc>
      </w:tr>
      <w:tr w:rsidR="00816196" w:rsidRPr="004D6136" w14:paraId="36DE1B56" w14:textId="77777777" w:rsidTr="007E49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52701B9D" w14:textId="77777777"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(3)   Instituțiile care, în conformitate cu cadrul contabil aplicabil, aplică principiul contabilizării la data decontării pentru achizițiile și vânzările standard care urmează a fi decontate includ în indicatorul de măsurare a expunerii totale valoarea nominală totală a angajamentelor de plată legate de achizițiile standard.</w:t>
            </w:r>
          </w:p>
          <w:p w14:paraId="0148CE2A" w14:textId="12AB9AB9"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Instituțiile pot compensa valoarea nominală totală a angajamentelor de plată legate de achizițiile standard cu valoarea nominală totală a sumelor de încasat în numerar legate de vânzările standard care urmează a fi decontate numai dacă sunt îndeplinite cumulativ următoarele condiții:</w:t>
            </w:r>
          </w:p>
          <w:p w14:paraId="33C44759" w14:textId="4C206ABC"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(a) atât achizițiile standard, cât și vânzările standard sunt decontate pe baza principiului «livrare contra plată;</w:t>
            </w:r>
          </w:p>
          <w:p w14:paraId="4A5F0EC2" w14:textId="5C5B5850"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(b) activele financiare cumpărate și vândute care sunt asociate cu sumele de plătit și sumele de încasat în </w:t>
            </w:r>
            <w:r w:rsidRPr="004D6136">
              <w:rPr>
                <w:rFonts w:ascii="Times New Roman" w:hAnsi="Times New Roman" w:cs="Times New Roman"/>
                <w:bCs/>
                <w:color w:val="000000" w:themeColor="text1"/>
                <w:lang w:val="ro-MD"/>
              </w:rPr>
              <w:lastRenderedPageBreak/>
              <w:t>numerar sunt evaluate la valoarea justă prin profit și pierdere și incluse în portofoliul de tranzacționare al instituției.</w:t>
            </w:r>
          </w:p>
        </w:tc>
        <w:tc>
          <w:tcPr>
            <w:tcW w:w="1557" w:type="pct"/>
            <w:shd w:val="clear" w:color="auto" w:fill="auto"/>
          </w:tcPr>
          <w:p w14:paraId="0F96897D" w14:textId="4D3EAB65" w:rsidR="00816196" w:rsidRPr="004D6136" w:rsidRDefault="00C7336D"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67</w:t>
            </w:r>
            <w:r w:rsidR="00816196" w:rsidRPr="004D6136">
              <w:rPr>
                <w:rFonts w:ascii="Times New Roman" w:hAnsi="Times New Roman" w:cs="Times New Roman"/>
                <w:bCs/>
                <w:color w:val="000000" w:themeColor="text1"/>
                <w:lang w:val="ro-MD"/>
              </w:rPr>
              <w:t>.   Băncile care, în conformitate cu cadrul contabil aplicabil, aplică principiul contabilizării la data decontării pentru achizițiile și vânzările standard care urmează a fi decontate includ în indicatorul de măsurare a expunerii totale valoarea nominală totală a angajamentelor de plată legate de achizițiile standard.</w:t>
            </w:r>
          </w:p>
          <w:p w14:paraId="1D252A4C" w14:textId="78421FA6" w:rsidR="00816196" w:rsidRPr="004D6136" w:rsidRDefault="00C7336D"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68</w:t>
            </w:r>
            <w:r w:rsidR="00816196" w:rsidRPr="004D6136">
              <w:rPr>
                <w:rFonts w:ascii="Times New Roman" w:hAnsi="Times New Roman" w:cs="Times New Roman"/>
                <w:bCs/>
                <w:color w:val="000000" w:themeColor="text1"/>
                <w:lang w:val="ro-MD"/>
              </w:rPr>
              <w:t>. Băncile pot compensa valoarea nominală totală a angajamentelor de plată legate de achizițiile standard cu valoarea nominală totală a sumelor de încasat în numerar legate de vânzările standard care urmează a fi decontate numai dacă sunt îndeplinite cumulativ următoarele condiții:</w:t>
            </w:r>
          </w:p>
          <w:p w14:paraId="35D46DB1" w14:textId="1B7A2048" w:rsidR="00816196" w:rsidRPr="004D6136" w:rsidRDefault="00C7336D"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68.1</w:t>
            </w:r>
            <w:r w:rsidR="00816196" w:rsidRPr="004D6136">
              <w:rPr>
                <w:rFonts w:ascii="Times New Roman" w:hAnsi="Times New Roman" w:cs="Times New Roman"/>
                <w:bCs/>
                <w:color w:val="000000" w:themeColor="text1"/>
                <w:lang w:val="ro-MD"/>
              </w:rPr>
              <w:t xml:space="preserve">. atât achizițiile standard, cât și vânzările standard sunt decontate pe baza principiului </w:t>
            </w:r>
            <w:r w:rsidR="001A2A38" w:rsidRPr="004D6136">
              <w:rPr>
                <w:rFonts w:ascii="Times New Roman" w:hAnsi="Times New Roman" w:cs="Times New Roman"/>
                <w:bCs/>
                <w:color w:val="000000" w:themeColor="text1"/>
                <w:lang w:val="ro-MD"/>
              </w:rPr>
              <w:t>„</w:t>
            </w:r>
            <w:r w:rsidR="00816196" w:rsidRPr="004D6136">
              <w:rPr>
                <w:rFonts w:ascii="Times New Roman" w:hAnsi="Times New Roman" w:cs="Times New Roman"/>
                <w:bCs/>
                <w:color w:val="000000" w:themeColor="text1"/>
                <w:lang w:val="ro-MD"/>
              </w:rPr>
              <w:t>livrare contra plată</w:t>
            </w:r>
            <w:r w:rsidR="001A2A38" w:rsidRPr="004D6136">
              <w:rPr>
                <w:rFonts w:ascii="Times New Roman" w:hAnsi="Times New Roman" w:cs="Times New Roman"/>
                <w:bCs/>
                <w:color w:val="000000" w:themeColor="text1"/>
                <w:lang w:val="ro-MD"/>
              </w:rPr>
              <w:t>”</w:t>
            </w:r>
            <w:r w:rsidR="00816196" w:rsidRPr="004D6136">
              <w:rPr>
                <w:rFonts w:ascii="Times New Roman" w:hAnsi="Times New Roman" w:cs="Times New Roman"/>
                <w:bCs/>
                <w:color w:val="000000" w:themeColor="text1"/>
                <w:lang w:val="ro-MD"/>
              </w:rPr>
              <w:t>;</w:t>
            </w:r>
          </w:p>
          <w:p w14:paraId="3BC606E3" w14:textId="46645864" w:rsidR="00816196" w:rsidRPr="004D6136" w:rsidRDefault="00C7336D"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68.2</w:t>
            </w:r>
            <w:r w:rsidR="00816196" w:rsidRPr="004D6136">
              <w:rPr>
                <w:rFonts w:ascii="Times New Roman" w:hAnsi="Times New Roman" w:cs="Times New Roman"/>
                <w:bCs/>
                <w:color w:val="000000" w:themeColor="text1"/>
                <w:lang w:val="ro-MD"/>
              </w:rPr>
              <w:t>. activele financiare cumpărate și vândute care sunt asociate cu sumele de plătit și sumele de încasat în numerar sunt evaluate la valoarea justă prin profit și pierdere și incluse în portofoliul de tranzacționare al băncii.</w:t>
            </w:r>
          </w:p>
        </w:tc>
        <w:tc>
          <w:tcPr>
            <w:tcW w:w="585" w:type="pct"/>
          </w:tcPr>
          <w:p w14:paraId="37030736" w14:textId="13E7B25B" w:rsidR="00816196" w:rsidRPr="004D6136" w:rsidRDefault="00A40233"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compatibil</w:t>
            </w:r>
          </w:p>
        </w:tc>
        <w:tc>
          <w:tcPr>
            <w:tcW w:w="1261" w:type="pct"/>
          </w:tcPr>
          <w:p w14:paraId="0A3866CE" w14:textId="77777777"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p>
        </w:tc>
      </w:tr>
      <w:tr w:rsidR="00816196" w:rsidRPr="004D6136" w14:paraId="24E84FAE" w14:textId="77777777" w:rsidTr="000A2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0E7465CC" w14:textId="77777777" w:rsidR="00816196" w:rsidRPr="004D6136" w:rsidRDefault="00816196" w:rsidP="00816196">
            <w:pPr>
              <w:shd w:val="clear" w:color="auto" w:fill="FFFFFF"/>
              <w:spacing w:after="0" w:line="312" w:lineRule="atLeast"/>
              <w:rPr>
                <w:rFonts w:ascii="Times New Roman" w:hAnsi="Times New Roman" w:cs="Times New Roman"/>
                <w:b/>
                <w:color w:val="000000" w:themeColor="text1"/>
                <w:lang w:val="ro-MD"/>
              </w:rPr>
            </w:pPr>
            <w:r w:rsidRPr="004D6136">
              <w:rPr>
                <w:rFonts w:ascii="Times New Roman" w:hAnsi="Times New Roman" w:cs="Times New Roman"/>
                <w:b/>
                <w:color w:val="000000" w:themeColor="text1"/>
                <w:lang w:val="ro-MD"/>
              </w:rPr>
              <w:t>PARTEA A ȘAPTEA A</w:t>
            </w:r>
          </w:p>
          <w:p w14:paraId="07FC9674" w14:textId="77777777" w:rsidR="00816196" w:rsidRPr="004D6136" w:rsidRDefault="00816196" w:rsidP="00816196">
            <w:pPr>
              <w:shd w:val="clear" w:color="auto" w:fill="FFFFFF"/>
              <w:spacing w:after="0" w:line="312" w:lineRule="atLeast"/>
              <w:rPr>
                <w:rFonts w:ascii="Times New Roman" w:hAnsi="Times New Roman" w:cs="Times New Roman"/>
                <w:b/>
                <w:color w:val="000000" w:themeColor="text1"/>
                <w:lang w:val="ro-MD"/>
              </w:rPr>
            </w:pPr>
            <w:r w:rsidRPr="004D6136">
              <w:rPr>
                <w:rFonts w:ascii="Times New Roman" w:hAnsi="Times New Roman" w:cs="Times New Roman"/>
                <w:b/>
                <w:color w:val="000000" w:themeColor="text1"/>
                <w:lang w:val="ro-MD"/>
              </w:rPr>
              <w:t>CERINȚE DE RAPORTARE</w:t>
            </w:r>
          </w:p>
          <w:p w14:paraId="175C7945" w14:textId="77777777" w:rsidR="00816196" w:rsidRPr="004D6136" w:rsidRDefault="00816196" w:rsidP="00816196">
            <w:pPr>
              <w:shd w:val="clear" w:color="auto" w:fill="FFFFFF"/>
              <w:spacing w:after="0" w:line="312" w:lineRule="atLeast"/>
              <w:rPr>
                <w:rFonts w:ascii="Times New Roman" w:hAnsi="Times New Roman" w:cs="Times New Roman"/>
                <w:b/>
                <w:color w:val="000000" w:themeColor="text1"/>
                <w:lang w:val="ro-MD"/>
              </w:rPr>
            </w:pPr>
            <w:r w:rsidRPr="004D6136">
              <w:rPr>
                <w:rFonts w:ascii="Times New Roman" w:hAnsi="Times New Roman" w:cs="Times New Roman"/>
                <w:b/>
                <w:color w:val="000000" w:themeColor="text1"/>
                <w:lang w:val="ro-MD"/>
              </w:rPr>
              <w:t>Articolul 430</w:t>
            </w:r>
          </w:p>
          <w:p w14:paraId="34B4AA35" w14:textId="43F4A021"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
                <w:color w:val="000000" w:themeColor="text1"/>
                <w:lang w:val="ro-MD"/>
              </w:rPr>
              <w:t>Raportarea privind cerințele prudențiale și informațiile financiare</w:t>
            </w:r>
          </w:p>
        </w:tc>
        <w:tc>
          <w:tcPr>
            <w:tcW w:w="1557" w:type="pct"/>
          </w:tcPr>
          <w:p w14:paraId="52C47453" w14:textId="77777777" w:rsidR="00816196" w:rsidRPr="004D6136" w:rsidRDefault="00816196" w:rsidP="00816196">
            <w:pPr>
              <w:shd w:val="clear" w:color="auto" w:fill="FFFFFF"/>
              <w:spacing w:after="0" w:line="312" w:lineRule="atLeast"/>
              <w:rPr>
                <w:rFonts w:ascii="Times New Roman" w:hAnsi="Times New Roman" w:cs="Times New Roman"/>
                <w:b/>
                <w:color w:val="000000" w:themeColor="text1"/>
                <w:lang w:val="ro-MD"/>
              </w:rPr>
            </w:pPr>
            <w:bookmarkStart w:id="24" w:name="_Hlk188367982"/>
            <w:r w:rsidRPr="004D6136">
              <w:rPr>
                <w:rFonts w:ascii="Times New Roman" w:hAnsi="Times New Roman" w:cs="Times New Roman"/>
                <w:b/>
                <w:color w:val="000000" w:themeColor="text1"/>
                <w:lang w:val="ro-MD"/>
              </w:rPr>
              <w:t xml:space="preserve">Capitolul X </w:t>
            </w:r>
          </w:p>
          <w:p w14:paraId="11F2884D" w14:textId="45BC9F37" w:rsidR="00816196" w:rsidRPr="004D6136" w:rsidRDefault="00816196" w:rsidP="00816196">
            <w:pPr>
              <w:shd w:val="clear" w:color="auto" w:fill="FFFFFF"/>
              <w:spacing w:after="0" w:line="312" w:lineRule="atLeast"/>
              <w:rPr>
                <w:rFonts w:ascii="Times New Roman" w:hAnsi="Times New Roman" w:cs="Times New Roman"/>
                <w:b/>
                <w:color w:val="000000" w:themeColor="text1"/>
                <w:lang w:val="ro-MD"/>
              </w:rPr>
            </w:pPr>
            <w:r w:rsidRPr="004D6136">
              <w:rPr>
                <w:rFonts w:ascii="Times New Roman" w:hAnsi="Times New Roman" w:cs="Times New Roman"/>
                <w:b/>
                <w:color w:val="000000" w:themeColor="text1"/>
                <w:lang w:val="ro-MD"/>
              </w:rPr>
              <w:t>CERINȚA DE RAPORTARE</w:t>
            </w:r>
            <w:bookmarkEnd w:id="24"/>
          </w:p>
        </w:tc>
        <w:tc>
          <w:tcPr>
            <w:tcW w:w="585" w:type="pct"/>
          </w:tcPr>
          <w:p w14:paraId="2063ABAB" w14:textId="77777777"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p>
        </w:tc>
        <w:tc>
          <w:tcPr>
            <w:tcW w:w="1261" w:type="pct"/>
          </w:tcPr>
          <w:p w14:paraId="2ABD93B7" w14:textId="77777777"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p>
        </w:tc>
      </w:tr>
      <w:tr w:rsidR="00816196" w:rsidRPr="004D6136" w14:paraId="04F4E784" w14:textId="77777777" w:rsidTr="005324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7FD91298" w14:textId="77777777"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(1)   Instituțiile raportează autorităților lor competente cu privire la:</w:t>
            </w:r>
          </w:p>
          <w:p w14:paraId="1F33E1BF" w14:textId="306CAF36"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(a) cerințele de fonduri proprii, inclusiv privind indicatorul efectului de levier, astfel cum se prevede la articolul 92 și în partea a șaptea;</w:t>
            </w:r>
          </w:p>
          <w:p w14:paraId="7701F4C0" w14:textId="548A7ACA"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(b) cerințele prevăzute la articolele 92a și 92b, pentru instituțiile care fac obiectul cerințelor respective;</w:t>
            </w:r>
          </w:p>
          <w:p w14:paraId="47EF57DE" w14:textId="5F957EDB"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(c) expunerile mari, astfel cum se prevede la articolul 394;</w:t>
            </w:r>
          </w:p>
          <w:p w14:paraId="29B56D5E" w14:textId="053091D8"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(d) cerințele de lichiditate, astfel cum se prevede la articolul 415;</w:t>
            </w:r>
          </w:p>
          <w:p w14:paraId="45B42F12" w14:textId="3357CFBB"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(e) datele agregate pentru fiecare piață națională de bunuri imobile, astfel cum este prevăzut la articolul 430a alineatul (1);</w:t>
            </w:r>
          </w:p>
          <w:p w14:paraId="44D366AF" w14:textId="4AC8FE9E"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(f) cerințele și orientările prevăzute în Directiva 2013/36/UE calificate pentru raportarea standardizată, cu excepția oricăror cerințe de raportare suplimentare în temeiul articolului 104 alineatul (1) litera (j) din directiva respectivă;</w:t>
            </w:r>
          </w:p>
          <w:p w14:paraId="0176FE69" w14:textId="1BDCCA65"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(g) nivelul de grevare cu sarcini a activelor, inclusiv o defalcare pe tipurile de grevare cu sarcini a activelor, cum ar fi acordurile </w:t>
            </w:r>
            <w:proofErr w:type="spellStart"/>
            <w:r w:rsidRPr="004D6136">
              <w:rPr>
                <w:rFonts w:ascii="Times New Roman" w:hAnsi="Times New Roman" w:cs="Times New Roman"/>
                <w:bCs/>
                <w:color w:val="000000" w:themeColor="text1"/>
                <w:lang w:val="ro-MD"/>
              </w:rPr>
              <w:t>repo</w:t>
            </w:r>
            <w:proofErr w:type="spellEnd"/>
            <w:r w:rsidRPr="004D6136">
              <w:rPr>
                <w:rFonts w:ascii="Times New Roman" w:hAnsi="Times New Roman" w:cs="Times New Roman"/>
                <w:bCs/>
                <w:color w:val="000000" w:themeColor="text1"/>
                <w:lang w:val="ro-MD"/>
              </w:rPr>
              <w:t>, darea cu împrumut de titluri de valoare, expunerile securitizate sau împrumuturile.</w:t>
            </w:r>
          </w:p>
          <w:p w14:paraId="71C3BE8E" w14:textId="77777777"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Instituțiile exceptate în conformitate cu articolul 6 alineatul (5) nu fac obiectul cerinței de raportare privind indicatorul efectului de levier, prevăzută la primul paragraf litera (a) de la prezentul alineat pe bază individuală.</w:t>
            </w:r>
          </w:p>
          <w:p w14:paraId="38850562" w14:textId="4641BBCD"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
                <w:color w:val="000000" w:themeColor="text1"/>
                <w:lang w:val="ro-MD"/>
              </w:rPr>
              <w:t>▼M17</w:t>
            </w:r>
          </w:p>
          <w:p w14:paraId="402B2028" w14:textId="530A0BBF"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(h) expunerile lor la riscuri ESG, inclusiv:</w:t>
            </w:r>
          </w:p>
          <w:p w14:paraId="1FCAB66D" w14:textId="53E3B69F"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(i) expunerile lor existente și noi față de entități din sectorul combustibililor fosili;</w:t>
            </w:r>
          </w:p>
          <w:p w14:paraId="7B1626F8" w14:textId="7A6A76E4"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(ii) expunerile lor la riscurile fizice și riscurile de tranziție;</w:t>
            </w:r>
          </w:p>
          <w:p w14:paraId="31D252DF" w14:textId="1BE0DEE1"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(i) expunerile lor la </w:t>
            </w:r>
            <w:proofErr w:type="spellStart"/>
            <w:r w:rsidRPr="004D6136">
              <w:rPr>
                <w:rFonts w:ascii="Times New Roman" w:hAnsi="Times New Roman" w:cs="Times New Roman"/>
                <w:bCs/>
                <w:color w:val="000000" w:themeColor="text1"/>
                <w:lang w:val="ro-MD"/>
              </w:rPr>
              <w:t>criptoactive</w:t>
            </w:r>
            <w:proofErr w:type="spellEnd"/>
            <w:r w:rsidRPr="004D6136">
              <w:rPr>
                <w:rFonts w:ascii="Times New Roman" w:hAnsi="Times New Roman" w:cs="Times New Roman"/>
                <w:bCs/>
                <w:color w:val="000000" w:themeColor="text1"/>
                <w:lang w:val="ro-MD"/>
              </w:rPr>
              <w:t>.</w:t>
            </w:r>
          </w:p>
        </w:tc>
        <w:tc>
          <w:tcPr>
            <w:tcW w:w="1557" w:type="pct"/>
            <w:shd w:val="clear" w:color="auto" w:fill="auto"/>
          </w:tcPr>
          <w:p w14:paraId="31E48D5C" w14:textId="182AF3FE" w:rsidR="00816196" w:rsidRPr="004D6136" w:rsidRDefault="00C7336D"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69</w:t>
            </w:r>
            <w:r w:rsidR="00816196" w:rsidRPr="004D6136">
              <w:rPr>
                <w:rFonts w:ascii="Times New Roman" w:hAnsi="Times New Roman" w:cs="Times New Roman"/>
                <w:bCs/>
                <w:color w:val="000000" w:themeColor="text1"/>
                <w:lang w:val="ro-MD"/>
              </w:rPr>
              <w:t>.   Băncile raportează la BNM cu privire la:</w:t>
            </w:r>
          </w:p>
          <w:p w14:paraId="280FCFD3" w14:textId="714A577B"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indicatorul efectului de levier, astfel cum se prevede la pct.130 subpct.4) din Regulamentul nr.109/2018 și în prezentul Regulament în conformitate cu </w:t>
            </w:r>
            <w:proofErr w:type="spellStart"/>
            <w:r w:rsidRPr="004D6136">
              <w:rPr>
                <w:rFonts w:ascii="Times New Roman" w:hAnsi="Times New Roman" w:cs="Times New Roman"/>
                <w:bCs/>
                <w:color w:val="000000" w:themeColor="text1"/>
                <w:lang w:val="ro-MD"/>
              </w:rPr>
              <w:t>cerinţele</w:t>
            </w:r>
            <w:proofErr w:type="spellEnd"/>
            <w:r w:rsidRPr="004D6136">
              <w:rPr>
                <w:rFonts w:ascii="Times New Roman" w:hAnsi="Times New Roman" w:cs="Times New Roman"/>
                <w:bCs/>
                <w:color w:val="000000" w:themeColor="text1"/>
                <w:lang w:val="ro-MD"/>
              </w:rPr>
              <w:t xml:space="preserve"> stabilite prin </w:t>
            </w:r>
            <w:proofErr w:type="spellStart"/>
            <w:r w:rsidRPr="004D6136">
              <w:rPr>
                <w:rFonts w:ascii="Times New Roman" w:hAnsi="Times New Roman" w:cs="Times New Roman"/>
                <w:bCs/>
                <w:color w:val="000000" w:themeColor="text1"/>
                <w:lang w:val="ro-MD"/>
              </w:rPr>
              <w:t>Instrucţiunea</w:t>
            </w:r>
            <w:proofErr w:type="spellEnd"/>
            <w:r w:rsidRPr="004D6136">
              <w:rPr>
                <w:rFonts w:ascii="Times New Roman" w:hAnsi="Times New Roman" w:cs="Times New Roman"/>
                <w:bCs/>
                <w:color w:val="000000" w:themeColor="text1"/>
                <w:lang w:val="ro-MD"/>
              </w:rPr>
              <w:t xml:space="preserve"> cu privire la prezentarea de către bănci a rapoartelor COREP în scopuri de supraveghere, aprobată de HCE al BNM nr.117/2018.</w:t>
            </w:r>
          </w:p>
          <w:p w14:paraId="6CC201A9" w14:textId="6489165D"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p>
        </w:tc>
        <w:tc>
          <w:tcPr>
            <w:tcW w:w="585" w:type="pct"/>
          </w:tcPr>
          <w:p w14:paraId="69C6A9A0" w14:textId="02F34072" w:rsidR="00816196" w:rsidRPr="004D6136" w:rsidRDefault="00A40233"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Parțial compatibil</w:t>
            </w:r>
          </w:p>
        </w:tc>
        <w:tc>
          <w:tcPr>
            <w:tcW w:w="1261" w:type="pct"/>
          </w:tcPr>
          <w:p w14:paraId="05665B6F" w14:textId="25CDB335" w:rsidR="00816196" w:rsidRPr="004D6136" w:rsidRDefault="00A40233"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Au fost transpuse doar prevederile de la alin.(1) lit.(a) aferente raportării indicatorului efectului de levier.</w:t>
            </w:r>
          </w:p>
        </w:tc>
      </w:tr>
      <w:tr w:rsidR="00816196" w:rsidRPr="004D6136" w14:paraId="04442E5A" w14:textId="77777777" w:rsidTr="005324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50D33AA8" w14:textId="4B590B80"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
                <w:color w:val="000000" w:themeColor="text1"/>
                <w:lang w:val="ro-MD"/>
              </w:rPr>
              <w:t>▼M13</w:t>
            </w:r>
          </w:p>
          <w:p w14:paraId="14CECA3D" w14:textId="527E1E30"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(1a)   În sensul alineatului (1) litera (a) de la prezentul articol, atunci când instituțiile raportează cu privire la </w:t>
            </w:r>
            <w:r w:rsidRPr="004D6136">
              <w:rPr>
                <w:rFonts w:ascii="Times New Roman" w:hAnsi="Times New Roman" w:cs="Times New Roman"/>
                <w:bCs/>
                <w:color w:val="000000" w:themeColor="text1"/>
                <w:lang w:val="ro-MD"/>
              </w:rPr>
              <w:lastRenderedPageBreak/>
              <w:t>cerințele de fonduri proprii pentru securitizări, informațiile pe care le raportează includ informații privind securitizările de NPE care beneficiază de tratamentul prevăzut la articolul 269a, informații privind securitizările STS înscrise în bilanț inițiate și defalcarea activelor-suport pentru respectivele securitizări STS înscrise în bilanț pe clase de active.</w:t>
            </w:r>
          </w:p>
        </w:tc>
        <w:tc>
          <w:tcPr>
            <w:tcW w:w="1557" w:type="pct"/>
            <w:shd w:val="clear" w:color="auto" w:fill="auto"/>
          </w:tcPr>
          <w:p w14:paraId="5C313271" w14:textId="4A113FB8"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p>
        </w:tc>
        <w:tc>
          <w:tcPr>
            <w:tcW w:w="585" w:type="pct"/>
          </w:tcPr>
          <w:p w14:paraId="6669004D" w14:textId="29D47C1C" w:rsidR="00816196" w:rsidRPr="004D6136" w:rsidRDefault="00A40233"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Prevederi UE netranspuse</w:t>
            </w:r>
          </w:p>
        </w:tc>
        <w:tc>
          <w:tcPr>
            <w:tcW w:w="1261" w:type="pct"/>
          </w:tcPr>
          <w:p w14:paraId="7EA90F61" w14:textId="664CD985" w:rsidR="00A40233" w:rsidRPr="004D6136" w:rsidRDefault="00A40233" w:rsidP="00A40233">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Prevederile de la alin.(1a) se referă la securitizări - prevederi care încă nu sunt </w:t>
            </w:r>
            <w:r w:rsidRPr="004D6136">
              <w:rPr>
                <w:rFonts w:ascii="Times New Roman" w:hAnsi="Times New Roman" w:cs="Times New Roman"/>
                <w:bCs/>
                <w:color w:val="000000" w:themeColor="text1"/>
                <w:lang w:val="ro-MD"/>
              </w:rPr>
              <w:lastRenderedPageBreak/>
              <w:t>reglementate în legislația Republicii Moldova.</w:t>
            </w:r>
          </w:p>
          <w:p w14:paraId="653D6F59" w14:textId="77777777"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p>
        </w:tc>
      </w:tr>
      <w:tr w:rsidR="00816196" w:rsidRPr="004D6136" w14:paraId="64FC9EFF" w14:textId="77777777" w:rsidTr="005324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1979D5C6" w14:textId="25BCF6D4" w:rsidR="00816196" w:rsidRPr="004D6136" w:rsidRDefault="00816196" w:rsidP="00816196">
            <w:pPr>
              <w:shd w:val="clear" w:color="auto" w:fill="FFFFFF"/>
              <w:spacing w:after="0" w:line="312" w:lineRule="atLeast"/>
              <w:rPr>
                <w:rFonts w:ascii="Times New Roman" w:hAnsi="Times New Roman" w:cs="Times New Roman"/>
                <w:b/>
                <w:color w:val="000000" w:themeColor="text1"/>
                <w:lang w:val="ro-MD"/>
              </w:rPr>
            </w:pPr>
            <w:r w:rsidRPr="004D6136">
              <w:rPr>
                <w:rFonts w:ascii="Times New Roman" w:hAnsi="Times New Roman" w:cs="Times New Roman"/>
                <w:b/>
                <w:color w:val="000000" w:themeColor="text1"/>
                <w:lang w:val="ro-MD"/>
              </w:rPr>
              <w:lastRenderedPageBreak/>
              <w:t>▼M8</w:t>
            </w:r>
          </w:p>
          <w:p w14:paraId="5FB5A82D" w14:textId="720ADC93"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(2)   În plus față de raportarea privind indicatorul efectului de levier menționată la alineatul (1) primul paragraf litera (a) și pentru a permite autorităților competente să monitorizeze volatilitatea indicatorului efectului de levier, în special în apropierea datelor de referință ale raportării, instituțiile mari raportează componentele specifice ale indicatorului efectului de levier autorităților lor competente pe baza valorilor medii pe perioada de raportare și a datelor utilizate pentru calcularea valorilor medii respective.</w:t>
            </w:r>
          </w:p>
        </w:tc>
        <w:tc>
          <w:tcPr>
            <w:tcW w:w="1557" w:type="pct"/>
            <w:shd w:val="clear" w:color="auto" w:fill="auto"/>
          </w:tcPr>
          <w:p w14:paraId="57019D30" w14:textId="6B9AE0C6" w:rsidR="00816196" w:rsidRPr="004D6136" w:rsidRDefault="00C7336D"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70</w:t>
            </w:r>
            <w:r w:rsidR="00CF2A62" w:rsidRPr="004D6136">
              <w:rPr>
                <w:rFonts w:ascii="Times New Roman" w:hAnsi="Times New Roman" w:cs="Times New Roman"/>
                <w:bCs/>
                <w:color w:val="000000" w:themeColor="text1"/>
                <w:lang w:val="ro-MD"/>
              </w:rPr>
              <w:t>.</w:t>
            </w:r>
            <w:r w:rsidR="00816196" w:rsidRPr="004D6136">
              <w:rPr>
                <w:rFonts w:ascii="Times New Roman" w:hAnsi="Times New Roman" w:cs="Times New Roman"/>
                <w:bCs/>
                <w:color w:val="000000" w:themeColor="text1"/>
                <w:lang w:val="ro-MD"/>
              </w:rPr>
              <w:t xml:space="preserve">   În plus față de raportarea privind indicatorul efectului de levier menționată la </w:t>
            </w:r>
            <w:r w:rsidR="00CF2A62" w:rsidRPr="004D6136">
              <w:rPr>
                <w:rFonts w:ascii="Times New Roman" w:hAnsi="Times New Roman" w:cs="Times New Roman"/>
                <w:bCs/>
                <w:color w:val="000000" w:themeColor="text1"/>
                <w:lang w:val="ro-MD"/>
              </w:rPr>
              <w:t>pct.</w:t>
            </w:r>
            <w:r w:rsidRPr="004D6136">
              <w:rPr>
                <w:rFonts w:ascii="Times New Roman" w:hAnsi="Times New Roman" w:cs="Times New Roman"/>
                <w:bCs/>
                <w:color w:val="000000" w:themeColor="text1"/>
                <w:lang w:val="ro-MD"/>
              </w:rPr>
              <w:t xml:space="preserve">69 </w:t>
            </w:r>
            <w:r w:rsidR="00816196" w:rsidRPr="004D6136">
              <w:rPr>
                <w:rFonts w:ascii="Times New Roman" w:hAnsi="Times New Roman" w:cs="Times New Roman"/>
                <w:bCs/>
                <w:color w:val="000000" w:themeColor="text1"/>
                <w:lang w:val="ro-MD"/>
              </w:rPr>
              <w:t xml:space="preserve">și pentru a permite </w:t>
            </w:r>
            <w:r w:rsidR="00CF2A62" w:rsidRPr="004D6136">
              <w:rPr>
                <w:rFonts w:ascii="Times New Roman" w:hAnsi="Times New Roman" w:cs="Times New Roman"/>
                <w:bCs/>
                <w:color w:val="000000" w:themeColor="text1"/>
                <w:lang w:val="ro-MD"/>
              </w:rPr>
              <w:t>BNM</w:t>
            </w:r>
            <w:r w:rsidR="00816196" w:rsidRPr="004D6136">
              <w:rPr>
                <w:rFonts w:ascii="Times New Roman" w:hAnsi="Times New Roman" w:cs="Times New Roman"/>
                <w:bCs/>
                <w:color w:val="000000" w:themeColor="text1"/>
                <w:lang w:val="ro-MD"/>
              </w:rPr>
              <w:t xml:space="preserve"> să monitorizeze volatilitatea indicatorului efectului de levier, în special în apropierea datelor de referință ale raportării, </w:t>
            </w:r>
            <w:r w:rsidR="00CF2A62" w:rsidRPr="004D6136">
              <w:rPr>
                <w:rFonts w:ascii="Times New Roman" w:hAnsi="Times New Roman" w:cs="Times New Roman"/>
                <w:bCs/>
                <w:color w:val="000000" w:themeColor="text1"/>
                <w:lang w:val="ro-MD"/>
              </w:rPr>
              <w:t xml:space="preserve">băncile </w:t>
            </w:r>
            <w:bookmarkStart w:id="25" w:name="_Hlk191454311"/>
            <w:r w:rsidR="00CF2A62" w:rsidRPr="004D6136">
              <w:rPr>
                <w:rFonts w:ascii="Times New Roman" w:hAnsi="Times New Roman" w:cs="Times New Roman"/>
                <w:bCs/>
                <w:color w:val="000000" w:themeColor="text1"/>
                <w:lang w:val="ro-MD"/>
              </w:rPr>
              <w:t xml:space="preserve">care sunt </w:t>
            </w:r>
            <w:proofErr w:type="spellStart"/>
            <w:r w:rsidR="00CF2A62" w:rsidRPr="004D6136">
              <w:rPr>
                <w:rFonts w:ascii="Times New Roman" w:hAnsi="Times New Roman" w:cs="Times New Roman"/>
                <w:bCs/>
                <w:color w:val="000000" w:themeColor="text1"/>
                <w:lang w:val="ro-MD"/>
              </w:rPr>
              <w:t>societăţi</w:t>
            </w:r>
            <w:proofErr w:type="spellEnd"/>
            <w:r w:rsidR="00CF2A62" w:rsidRPr="004D6136">
              <w:rPr>
                <w:rFonts w:ascii="Times New Roman" w:hAnsi="Times New Roman" w:cs="Times New Roman"/>
                <w:bCs/>
                <w:color w:val="000000" w:themeColor="text1"/>
                <w:lang w:val="ro-MD"/>
              </w:rPr>
              <w:t xml:space="preserve"> de </w:t>
            </w:r>
            <w:proofErr w:type="spellStart"/>
            <w:r w:rsidR="00CF2A62" w:rsidRPr="004D6136">
              <w:rPr>
                <w:rFonts w:ascii="Times New Roman" w:hAnsi="Times New Roman" w:cs="Times New Roman"/>
                <w:bCs/>
                <w:color w:val="000000" w:themeColor="text1"/>
                <w:lang w:val="ro-MD"/>
              </w:rPr>
              <w:t>importanţă</w:t>
            </w:r>
            <w:proofErr w:type="spellEnd"/>
            <w:r w:rsidR="00CF2A62" w:rsidRPr="004D6136">
              <w:rPr>
                <w:rFonts w:ascii="Times New Roman" w:hAnsi="Times New Roman" w:cs="Times New Roman"/>
                <w:bCs/>
                <w:color w:val="000000" w:themeColor="text1"/>
                <w:lang w:val="ro-MD"/>
              </w:rPr>
              <w:t xml:space="preserve"> sistemică</w:t>
            </w:r>
            <w:bookmarkEnd w:id="25"/>
            <w:r w:rsidR="00CF2A62" w:rsidRPr="004D6136">
              <w:rPr>
                <w:rFonts w:ascii="Times New Roman" w:hAnsi="Times New Roman" w:cs="Times New Roman"/>
                <w:bCs/>
                <w:color w:val="000000" w:themeColor="text1"/>
                <w:lang w:val="ro-MD"/>
              </w:rPr>
              <w:t xml:space="preserve"> </w:t>
            </w:r>
            <w:r w:rsidR="00816196" w:rsidRPr="004D6136">
              <w:rPr>
                <w:rFonts w:ascii="Times New Roman" w:hAnsi="Times New Roman" w:cs="Times New Roman"/>
                <w:bCs/>
                <w:color w:val="000000" w:themeColor="text1"/>
                <w:lang w:val="ro-MD"/>
              </w:rPr>
              <w:t xml:space="preserve">raportează componentele specifice ale indicatorului efectului de levier </w:t>
            </w:r>
            <w:r w:rsidR="00CF2A62" w:rsidRPr="004D6136">
              <w:rPr>
                <w:rFonts w:ascii="Times New Roman" w:hAnsi="Times New Roman" w:cs="Times New Roman"/>
                <w:bCs/>
                <w:color w:val="000000" w:themeColor="text1"/>
                <w:lang w:val="ro-MD"/>
              </w:rPr>
              <w:t>BNM</w:t>
            </w:r>
            <w:r w:rsidR="00816196" w:rsidRPr="004D6136">
              <w:rPr>
                <w:rFonts w:ascii="Times New Roman" w:hAnsi="Times New Roman" w:cs="Times New Roman"/>
                <w:bCs/>
                <w:color w:val="000000" w:themeColor="text1"/>
                <w:lang w:val="ro-MD"/>
              </w:rPr>
              <w:t xml:space="preserve"> pe baza valorilor medii pe perioada de raportare și a datelor utilizate pentru calcularea valorilor medii respective.</w:t>
            </w:r>
          </w:p>
        </w:tc>
        <w:tc>
          <w:tcPr>
            <w:tcW w:w="585" w:type="pct"/>
          </w:tcPr>
          <w:p w14:paraId="73F82848" w14:textId="7BC6C98C" w:rsidR="00816196" w:rsidRPr="004D6136" w:rsidRDefault="00881ABE" w:rsidP="00816196">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compatibil</w:t>
            </w:r>
          </w:p>
        </w:tc>
        <w:tc>
          <w:tcPr>
            <w:tcW w:w="1261" w:type="pct"/>
          </w:tcPr>
          <w:p w14:paraId="122E36F0" w14:textId="77777777" w:rsidR="00816196" w:rsidRPr="004D6136" w:rsidRDefault="00816196" w:rsidP="00816196">
            <w:pPr>
              <w:shd w:val="clear" w:color="auto" w:fill="FFFFFF"/>
              <w:spacing w:after="0" w:line="312" w:lineRule="atLeast"/>
              <w:rPr>
                <w:rFonts w:ascii="Times New Roman" w:hAnsi="Times New Roman" w:cs="Times New Roman"/>
                <w:bCs/>
                <w:color w:val="000000" w:themeColor="text1"/>
                <w:lang w:val="ro-MD"/>
              </w:rPr>
            </w:pPr>
          </w:p>
        </w:tc>
      </w:tr>
      <w:tr w:rsidR="00881ABE" w:rsidRPr="004D6136" w14:paraId="7A589B90" w14:textId="77777777" w:rsidTr="005324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18C40514" w14:textId="646BC358"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(2a)   Atunci când raportează cerințele lor de fonduri proprii pentru riscul de piață menționate la alineatul (1) litera (a) de la prezentul articol, instituțiile raportează separat calculele prevăzute la articolul 325c alineatul (2) literele (a), (b) și (c) pentru portofoliul tuturor pozițiilor din portofoliul de </w:t>
            </w:r>
            <w:r w:rsidRPr="004D6136">
              <w:rPr>
                <w:rFonts w:ascii="Times New Roman" w:hAnsi="Times New Roman" w:cs="Times New Roman"/>
                <w:bCs/>
                <w:color w:val="000000" w:themeColor="text1"/>
                <w:lang w:val="ro-MD"/>
              </w:rPr>
              <w:lastRenderedPageBreak/>
              <w:t>tranzacționare sau din afara portofoliului de tranzacționare care prezintă un risc valutar sau de marfă.</w:t>
            </w:r>
          </w:p>
        </w:tc>
        <w:tc>
          <w:tcPr>
            <w:tcW w:w="1557" w:type="pct"/>
            <w:shd w:val="clear" w:color="auto" w:fill="auto"/>
          </w:tcPr>
          <w:p w14:paraId="3303A04A" w14:textId="72F7F809"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p>
        </w:tc>
        <w:tc>
          <w:tcPr>
            <w:tcW w:w="585" w:type="pct"/>
          </w:tcPr>
          <w:p w14:paraId="2D29106C" w14:textId="1563C197"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Prevederi UE netranspuse</w:t>
            </w:r>
          </w:p>
        </w:tc>
        <w:tc>
          <w:tcPr>
            <w:tcW w:w="1261" w:type="pct"/>
          </w:tcPr>
          <w:p w14:paraId="2F066B6A" w14:textId="7984CFE3"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Prevederile de la alin.(2a) se referă la raportarea cerințelor de fonduri proprii pentru riscul de piață conform </w:t>
            </w:r>
            <w:proofErr w:type="spellStart"/>
            <w:r w:rsidRPr="004D6136">
              <w:rPr>
                <w:rFonts w:ascii="Times New Roman" w:hAnsi="Times New Roman" w:cs="Times New Roman"/>
                <w:bCs/>
                <w:color w:val="000000" w:themeColor="text1"/>
                <w:lang w:val="ro-MD"/>
              </w:rPr>
              <w:t>calculelelor</w:t>
            </w:r>
            <w:proofErr w:type="spellEnd"/>
            <w:r w:rsidRPr="004D6136">
              <w:rPr>
                <w:rFonts w:ascii="Times New Roman" w:hAnsi="Times New Roman" w:cs="Times New Roman"/>
                <w:bCs/>
                <w:color w:val="000000" w:themeColor="text1"/>
                <w:lang w:val="ro-MD"/>
              </w:rPr>
              <w:t xml:space="preserve"> prevăzute la articolul 325c - prevederi care încă nu au fost transpuse în legislația Republicii Moldova.</w:t>
            </w:r>
          </w:p>
          <w:p w14:paraId="1B67DB66" w14:textId="77777777"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p>
        </w:tc>
      </w:tr>
      <w:tr w:rsidR="00881ABE" w:rsidRPr="004D6136" w14:paraId="7A0BCEA1" w14:textId="77777777" w:rsidTr="005324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46E8CC09" w14:textId="5ED2C4AE"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(2b)   Atunci când raportează cerințele lor de fonduri proprii pentru riscul de piață menționate la alineatul (1) litera (a) de la prezentul articol, instituțiile raportează separat calculele prevăzute la articolul 325ba alineatul (1) litera (a) punctele (i) și (ii) și litera (b) punctele (i) și (ii) și pentru portofoliul cuprinzând toate pozițiile din portofoliul de tranzacționare sau din afara portofoliului de tranzacționare care fac obiectul unui risc valutar și al unui risc de marfă atribuite birourilor de tranzacționare pentru care au primit aprobarea din partea autorităților competente de a utiliza abordarea bazată pe modele interne alternativă, astfel cum se prevede la articolul 325az alineatul (2).</w:t>
            </w:r>
          </w:p>
        </w:tc>
        <w:tc>
          <w:tcPr>
            <w:tcW w:w="1557" w:type="pct"/>
            <w:shd w:val="clear" w:color="auto" w:fill="auto"/>
          </w:tcPr>
          <w:p w14:paraId="6BE85DCB" w14:textId="6D46F84B"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p>
        </w:tc>
        <w:tc>
          <w:tcPr>
            <w:tcW w:w="585" w:type="pct"/>
          </w:tcPr>
          <w:p w14:paraId="4C631D7F" w14:textId="0F9EABA5"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Prevederi UE netranspuse</w:t>
            </w:r>
          </w:p>
        </w:tc>
        <w:tc>
          <w:tcPr>
            <w:tcW w:w="1261" w:type="pct"/>
          </w:tcPr>
          <w:p w14:paraId="552B8F57" w14:textId="686B4852"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Prevederile de la alin.(2b) se referă la raportarea cerințelor de fonduri proprii pentru riscul de piață conform </w:t>
            </w:r>
            <w:proofErr w:type="spellStart"/>
            <w:r w:rsidRPr="004D6136">
              <w:rPr>
                <w:rFonts w:ascii="Times New Roman" w:hAnsi="Times New Roman" w:cs="Times New Roman"/>
                <w:bCs/>
                <w:color w:val="000000" w:themeColor="text1"/>
                <w:lang w:val="ro-MD"/>
              </w:rPr>
              <w:t>calculelelor</w:t>
            </w:r>
            <w:proofErr w:type="spellEnd"/>
            <w:r w:rsidRPr="004D6136">
              <w:rPr>
                <w:rFonts w:ascii="Times New Roman" w:hAnsi="Times New Roman" w:cs="Times New Roman"/>
                <w:bCs/>
                <w:color w:val="000000" w:themeColor="text1"/>
                <w:lang w:val="ro-MD"/>
              </w:rPr>
              <w:t xml:space="preserve"> prevăzute la articolul 325ba - prevederi care încă nu au fost transpuse în legislația Republicii Moldova.</w:t>
            </w:r>
          </w:p>
          <w:p w14:paraId="116F6895" w14:textId="77777777"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p>
        </w:tc>
      </w:tr>
      <w:tr w:rsidR="00881ABE" w:rsidRPr="004D6136" w14:paraId="6806BBE7" w14:textId="77777777" w:rsidTr="005324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44775CDE" w14:textId="77777777"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(3)   În plus față de raportarea privind cerințele prudențiale, menționată la alineatul (1) de la prezentul articol, o instituție raportează autorităților competente informații financiare atunci când este una dintre următoarele:</w:t>
            </w:r>
          </w:p>
          <w:p w14:paraId="323A0FA7" w14:textId="77DA1845"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(a) o instituție care intră sub incidența articolului 4 din Regulamentul (CE) nr. 1606/2002;</w:t>
            </w:r>
          </w:p>
          <w:p w14:paraId="2EE55347" w14:textId="04E201A3"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(b) o instituție de credit care își întocmește conturile consolidate în conformitate cu standardele internaționale de contabilitate în temeiul articolului 5 litera (b) din Regulamentul (CE) nr. 1606/2002.</w:t>
            </w:r>
          </w:p>
        </w:tc>
        <w:tc>
          <w:tcPr>
            <w:tcW w:w="1557" w:type="pct"/>
            <w:shd w:val="clear" w:color="auto" w:fill="auto"/>
          </w:tcPr>
          <w:p w14:paraId="2EB89B44" w14:textId="1D676CB3"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p>
        </w:tc>
        <w:tc>
          <w:tcPr>
            <w:tcW w:w="585" w:type="pct"/>
          </w:tcPr>
          <w:p w14:paraId="7B295CB0" w14:textId="46C9CB74"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Prevederi UE netranspuse</w:t>
            </w:r>
          </w:p>
        </w:tc>
        <w:tc>
          <w:tcPr>
            <w:tcW w:w="1261" w:type="pct"/>
          </w:tcPr>
          <w:p w14:paraId="468EEF4A" w14:textId="4B53AE07"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Prevederile de la alin.(3) se referă la raportarea informațiilor financiare - prevederi care nu sunt tangente raportării indicatorului efectului de levier.</w:t>
            </w:r>
          </w:p>
          <w:p w14:paraId="7CD5B5BC" w14:textId="77777777"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p>
        </w:tc>
      </w:tr>
      <w:tr w:rsidR="00881ABE" w:rsidRPr="004D6136" w14:paraId="2D9E4C6D" w14:textId="77777777" w:rsidTr="005324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2FD6E1AB" w14:textId="6178E4F6"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(4)   Autoritățile competente pot solicita instituțiilor de credit care își determină fondurile proprii pe bază consolidată în conformitate cu standardele internaționale de contabilitate, în temeiul articolului 24 alineatul (2), să raporteze informații financiare în conformitate cu prezentul articol.</w:t>
            </w:r>
          </w:p>
        </w:tc>
        <w:tc>
          <w:tcPr>
            <w:tcW w:w="1557" w:type="pct"/>
            <w:shd w:val="clear" w:color="auto" w:fill="auto"/>
          </w:tcPr>
          <w:p w14:paraId="619C3D07" w14:textId="23C1DDEE"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p>
        </w:tc>
        <w:tc>
          <w:tcPr>
            <w:tcW w:w="585" w:type="pct"/>
          </w:tcPr>
          <w:p w14:paraId="41DE2290" w14:textId="4BB2F6FE"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Prevederi UE netranspuse</w:t>
            </w:r>
          </w:p>
        </w:tc>
        <w:tc>
          <w:tcPr>
            <w:tcW w:w="1261" w:type="pct"/>
          </w:tcPr>
          <w:p w14:paraId="2BBA3D1A" w14:textId="7F53CCE3"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Prevederile de la alin.(4) se referă la raportarea informațiilor financiare - prevederi care nu sunt tangente raportării indicatorului efectului de levier.</w:t>
            </w:r>
          </w:p>
          <w:p w14:paraId="01E0D32C" w14:textId="77777777"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p>
        </w:tc>
      </w:tr>
      <w:tr w:rsidR="00881ABE" w:rsidRPr="004D6136" w14:paraId="35822A17" w14:textId="77777777" w:rsidTr="005324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63D59D61" w14:textId="2C41557A"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(5)   Raportarea privind informațiile financiare menționată la alineatele (3) și (4) cuprinde numai informațiile care sunt necesare pentru a oferi o imagine cuprinzătoare asupra profilului de risc al instituției și asupra riscurilor sistemice pe care instituția le prezintă pentru sectorul financiar sau pentru economia reală, astfel cum se prevede în Regulamentul (UE) nr. 1093/2010.</w:t>
            </w:r>
          </w:p>
        </w:tc>
        <w:tc>
          <w:tcPr>
            <w:tcW w:w="1557" w:type="pct"/>
            <w:shd w:val="clear" w:color="auto" w:fill="auto"/>
          </w:tcPr>
          <w:p w14:paraId="15037AEB" w14:textId="5F6BB133"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p>
        </w:tc>
        <w:tc>
          <w:tcPr>
            <w:tcW w:w="585" w:type="pct"/>
          </w:tcPr>
          <w:p w14:paraId="418F3355" w14:textId="4984AE63"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Prevederi UE netranspuse</w:t>
            </w:r>
          </w:p>
        </w:tc>
        <w:tc>
          <w:tcPr>
            <w:tcW w:w="1261" w:type="pct"/>
          </w:tcPr>
          <w:p w14:paraId="0222EEE0" w14:textId="4D9A576A"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Prevederile de la alin.(5) se referă la raportarea informațiilor financiare - prevederi care nu sunt </w:t>
            </w:r>
            <w:r w:rsidR="00685DE4" w:rsidRPr="004D6136">
              <w:rPr>
                <w:rFonts w:ascii="Times New Roman" w:hAnsi="Times New Roman" w:cs="Times New Roman"/>
                <w:bCs/>
                <w:color w:val="000000" w:themeColor="text1"/>
                <w:lang w:val="ro-MD"/>
              </w:rPr>
              <w:t>țin de</w:t>
            </w:r>
            <w:r w:rsidRPr="004D6136">
              <w:rPr>
                <w:rFonts w:ascii="Times New Roman" w:hAnsi="Times New Roman" w:cs="Times New Roman"/>
                <w:bCs/>
                <w:color w:val="000000" w:themeColor="text1"/>
                <w:lang w:val="ro-MD"/>
              </w:rPr>
              <w:t xml:space="preserve"> raport</w:t>
            </w:r>
            <w:r w:rsidR="00685DE4" w:rsidRPr="004D6136">
              <w:rPr>
                <w:rFonts w:ascii="Times New Roman" w:hAnsi="Times New Roman" w:cs="Times New Roman"/>
                <w:bCs/>
                <w:color w:val="000000" w:themeColor="text1"/>
                <w:lang w:val="ro-MD"/>
              </w:rPr>
              <w:t xml:space="preserve">area </w:t>
            </w:r>
            <w:r w:rsidRPr="004D6136">
              <w:rPr>
                <w:rFonts w:ascii="Times New Roman" w:hAnsi="Times New Roman" w:cs="Times New Roman"/>
                <w:bCs/>
                <w:color w:val="000000" w:themeColor="text1"/>
                <w:lang w:val="ro-MD"/>
              </w:rPr>
              <w:t>indicatorului efectului de levier.</w:t>
            </w:r>
          </w:p>
          <w:p w14:paraId="2DB112EE" w14:textId="77777777"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p>
        </w:tc>
      </w:tr>
      <w:tr w:rsidR="00881ABE" w:rsidRPr="004D6136" w14:paraId="30357B53" w14:textId="77777777" w:rsidTr="005324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3F6BD06B" w14:textId="3A58ADF2"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(6)   Cerințele de raportare prevăzute la prezentul articol se aplică instituțiilor în mod proporțional luând în considerare raportul menționat la alineatul (8), ținând seama de dimensiunea și complexitatea lor, precum și de natura și nivelul de risc al activităților lor.</w:t>
            </w:r>
          </w:p>
        </w:tc>
        <w:tc>
          <w:tcPr>
            <w:tcW w:w="1557" w:type="pct"/>
            <w:shd w:val="clear" w:color="auto" w:fill="auto"/>
          </w:tcPr>
          <w:p w14:paraId="26275C62" w14:textId="7C587A54"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p>
        </w:tc>
        <w:tc>
          <w:tcPr>
            <w:tcW w:w="585" w:type="pct"/>
          </w:tcPr>
          <w:p w14:paraId="4F0FE854" w14:textId="05617D2F" w:rsidR="00881ABE" w:rsidRPr="004D6136" w:rsidRDefault="008228D4" w:rsidP="00881ABE">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Prevederi UE neaplicabile</w:t>
            </w:r>
          </w:p>
        </w:tc>
        <w:tc>
          <w:tcPr>
            <w:tcW w:w="1261" w:type="pct"/>
          </w:tcPr>
          <w:p w14:paraId="3050B85B" w14:textId="3D3B284B" w:rsidR="00881ABE" w:rsidRPr="004D6136" w:rsidRDefault="00EA5CC2" w:rsidP="00881ABE">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Prevederile alin.(6) sunt tangente alin.(8), care stabilește obligații pentru autorități europene – Autoritatea Bancară Europeană.</w:t>
            </w:r>
          </w:p>
        </w:tc>
      </w:tr>
      <w:tr w:rsidR="00881ABE" w:rsidRPr="004D6136" w14:paraId="64C4786E" w14:textId="77777777" w:rsidTr="005324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48B99E80" w14:textId="714E9CB4"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(7)   ABE elaborează proiecte de standarde tehnice de punere în aplicare pentru a specifica formatele uniforme de raportare, frecvența și datele de raportare, precum și definițiile și elaborează soluții informatice, inclusiv modele de raportare și instrucțiuni pentru raportarea menționată la alineatele (1)-(4).</w:t>
            </w:r>
          </w:p>
          <w:p w14:paraId="3D5E051F" w14:textId="4A9BDD41"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Orice nouă cerință în materie de raportare, stabilită prin astfel de standarde tehnice de punere în aplicare, nu poate fi pusă în aplicare la mai puțin de șase luni de la data intrării sale în vigoare.</w:t>
            </w:r>
          </w:p>
          <w:p w14:paraId="5C27CE5C" w14:textId="5883D2AA"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În sensul alineatului (2), proiectul de standarde tehnice de punere în aplicare precizează care dintre componentele indicatorului efectului de levier se raportează utilizând valorile de la sfârșitul zilei sau de la sfârșitul lunii. În acest scop, ABE ține seama de următoarele două elemente:</w:t>
            </w:r>
          </w:p>
          <w:p w14:paraId="72880D42" w14:textId="2A055012"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(a) cât de susceptibilă este o componentă la importante reduceri temporare ale volumelor tranzacțiilor care ar putea duce la o subreprezentare a riscului asociat folosirii excesive a efectului de levier la data de referință a raportării;</w:t>
            </w:r>
          </w:p>
          <w:p w14:paraId="6D89B195" w14:textId="58326D81"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(b) evoluțiile și constatările la nivel internațional.</w:t>
            </w:r>
          </w:p>
          <w:p w14:paraId="6D91C73A" w14:textId="219FD99D"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ABE prezintă Comisiei respectivele proiecte de standarde tehnice de punere în aplicare menționate la </w:t>
            </w:r>
            <w:r w:rsidRPr="004D6136">
              <w:rPr>
                <w:rFonts w:ascii="Times New Roman" w:hAnsi="Times New Roman" w:cs="Times New Roman"/>
                <w:bCs/>
                <w:color w:val="000000" w:themeColor="text1"/>
                <w:lang w:val="ro-MD"/>
              </w:rPr>
              <w:lastRenderedPageBreak/>
              <w:t>prezentul alineat până la 28 iunie 2021, mai puțin în raport cu următoarele elemente:</w:t>
            </w:r>
          </w:p>
          <w:p w14:paraId="655822D7" w14:textId="29C11912"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(a) indicatorul efectului de levier, care se prezintă până la 28 iunie 2020;</w:t>
            </w:r>
          </w:p>
          <w:p w14:paraId="4F765BEB" w14:textId="3DC8D5D7"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(b) obligațiile prevăzute la articolele 92a și 92b, care se prezintă până la 28 iunie 2020.</w:t>
            </w:r>
          </w:p>
          <w:p w14:paraId="5A17B2C8" w14:textId="77777777"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Se conferă Comisiei competența de a adopta standardele tehnice de punere în aplicare menționate la primul paragraf de la prezentul alineat, în conformitate cu articolul 15 din Regulamentul (UE) nr. 1093/2010.</w:t>
            </w:r>
          </w:p>
          <w:p w14:paraId="08FE7DA9" w14:textId="23F1B63A"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(c) expunerile la riscurile ESG, care se prezintă până la 10 iulie 2025.</w:t>
            </w:r>
          </w:p>
        </w:tc>
        <w:tc>
          <w:tcPr>
            <w:tcW w:w="1557" w:type="pct"/>
            <w:shd w:val="clear" w:color="auto" w:fill="auto"/>
          </w:tcPr>
          <w:p w14:paraId="26276130" w14:textId="35B19C6D"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p>
        </w:tc>
        <w:tc>
          <w:tcPr>
            <w:tcW w:w="585" w:type="pct"/>
          </w:tcPr>
          <w:p w14:paraId="4FC82908" w14:textId="7D6080B2" w:rsidR="00881ABE" w:rsidRPr="004D6136" w:rsidRDefault="008228D4" w:rsidP="00881ABE">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Prevederi UE neaplicabile</w:t>
            </w:r>
          </w:p>
        </w:tc>
        <w:tc>
          <w:tcPr>
            <w:tcW w:w="1261" w:type="pct"/>
          </w:tcPr>
          <w:p w14:paraId="4CDAF365" w14:textId="327F95E7" w:rsidR="00881ABE" w:rsidRPr="004D6136" w:rsidRDefault="00685DE4" w:rsidP="00881ABE">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Alin.(7) stabilește obligații pentru autorități europene – Autoritatea Bancară Europeană.</w:t>
            </w:r>
          </w:p>
        </w:tc>
      </w:tr>
      <w:tr w:rsidR="00881ABE" w:rsidRPr="004D6136" w14:paraId="358C98E4" w14:textId="77777777" w:rsidTr="005324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2F488344" w14:textId="77777777"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(8)   ABE evaluează costurile și beneficiile implicate de cerințele de raportare prevăzute în Regulamentul de punere în aplicare (UE) nr. 680/2014 al Comisiei ( 25 ) în conformitate cu prezentul alineat și informează Comisia cu privire la constatările sale până la 28 iunie 2020. Evaluarea respectivă se efectuează în special în legătură cu instituțiile mici și cu un grad redus de complexitate. În acest scop, raportul:</w:t>
            </w:r>
          </w:p>
          <w:p w14:paraId="4434BC93" w14:textId="00AB8295"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(a) clasifică instituțiile pe categorii în funcție de dimensiunea, complexitatea lor, precum și de natura și nivelul de risc al activităților lor;</w:t>
            </w:r>
          </w:p>
          <w:p w14:paraId="56CCEAEA" w14:textId="471DFB45"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(b) măsoară costurile de raportare suportate de fiecare categorie de instituții în cursul perioadei relevante pentru a respecta cerințele de raportare prevăzute în Regulamentul de punere în aplicare (UE) nr. 680/2014, ținând seama de următoarele principii:</w:t>
            </w:r>
          </w:p>
          <w:p w14:paraId="21D6C5E3" w14:textId="643D5BA2"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(i) costurile de raportare se măsoară ca raportul dintre costurile de raportare și costurile totale ale instituției în cursul perioadei relevante;</w:t>
            </w:r>
          </w:p>
          <w:p w14:paraId="0DA0C0A0" w14:textId="5F35FF12"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(ii) costurile de raportare cuprind toate cheltuielile legate de punerea în aplicare și funcționarea în permanență a sistemelor de raportare, inclusiv cheltuielile legate de personal, de sistemele informatice și de serviciile juridice, contabile, de audit și de consultanță;</w:t>
            </w:r>
          </w:p>
          <w:p w14:paraId="51F58139" w14:textId="1FACDCD7"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(iii) perioada relevantă se referă la fiecare perioadă anuală în care instituțiile au suportat costuri de raportare pentru a se pregăti să pună în aplicare cerințele de raportare stabilite în Regulamentul de punere în aplicare (UE) nr. 680/2014 și pentru a continua să asigure funcționarea în permanență a sistemelor de raportare;</w:t>
            </w:r>
          </w:p>
          <w:p w14:paraId="7876C05F" w14:textId="4B214B42"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(c) evaluează dacă costurile de raportare suportate de fiecare categorie de instituții au fost proporționale în </w:t>
            </w:r>
            <w:r w:rsidRPr="004D6136">
              <w:rPr>
                <w:rFonts w:ascii="Times New Roman" w:hAnsi="Times New Roman" w:cs="Times New Roman"/>
                <w:bCs/>
                <w:color w:val="000000" w:themeColor="text1"/>
                <w:lang w:val="ro-MD"/>
              </w:rPr>
              <w:lastRenderedPageBreak/>
              <w:t>raport cu beneficiile oferite de cerințele de raportare în scopul supravegherii prudențiale;</w:t>
            </w:r>
          </w:p>
          <w:p w14:paraId="11B38D21" w14:textId="5BF68D74"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(d) evaluează efectele unei reduceri a cerințelor de raportare asupra costurilor și a eficacității supravegherii; și</w:t>
            </w:r>
          </w:p>
          <w:p w14:paraId="4630E01E" w14:textId="633B2936"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(e) face recomandări privind modalitatea de reducere a cerințelor de raportare cel puțin pentru instituțiile mici și cu un grad redus de complexitate, iar în acest scop, ABE își propune o reducere preconizată a costurilor medii de cel puțin 10 %, dar de preferință de 20 %. ABE evaluează, în special, dacă:</w:t>
            </w:r>
          </w:p>
          <w:p w14:paraId="7C9CCD49" w14:textId="3D827DCB"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(i) cerințele de raportare menționate la alineatul (1) litera (g) ar putea fi eliminate pentru instituțiile mici și cu un grad redus de complexitate în cazul cărora grevarea cu sarcini a fost inferioară unui anumit prag;</w:t>
            </w:r>
          </w:p>
          <w:p w14:paraId="268E7608" w14:textId="4B497CFE"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(ii) frecvența de raportare solicitată în conformitate cu alineatul (1) literele (a), (c) și (g) ar putea fi redusă pentru instituțiile mici și cu un grad redus de complexitate.</w:t>
            </w:r>
          </w:p>
          <w:p w14:paraId="4418B53F" w14:textId="5D4CEA46"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ABE anexează la raportul menționat proiectele de standarde tehnice de punere în aplicare menționate la alineatul (7).</w:t>
            </w:r>
          </w:p>
        </w:tc>
        <w:tc>
          <w:tcPr>
            <w:tcW w:w="1557" w:type="pct"/>
            <w:shd w:val="clear" w:color="auto" w:fill="auto"/>
          </w:tcPr>
          <w:p w14:paraId="02EE1924" w14:textId="5EAA7855" w:rsidR="00881ABE" w:rsidRPr="004D6136" w:rsidRDefault="00881ABE" w:rsidP="00881ABE">
            <w:pPr>
              <w:shd w:val="clear" w:color="auto" w:fill="FFFFFF"/>
              <w:spacing w:after="0" w:line="312" w:lineRule="atLeast"/>
              <w:rPr>
                <w:rFonts w:ascii="Times New Roman" w:hAnsi="Times New Roman" w:cs="Times New Roman"/>
                <w:bCs/>
                <w:color w:val="000000" w:themeColor="text1"/>
                <w:lang w:val="ro-MD"/>
              </w:rPr>
            </w:pPr>
          </w:p>
        </w:tc>
        <w:tc>
          <w:tcPr>
            <w:tcW w:w="585" w:type="pct"/>
          </w:tcPr>
          <w:p w14:paraId="03473919" w14:textId="7BC7304F" w:rsidR="00881ABE" w:rsidRPr="004D6136" w:rsidRDefault="008228D4" w:rsidP="00881ABE">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Prevederi UE neaplicabile</w:t>
            </w:r>
          </w:p>
        </w:tc>
        <w:tc>
          <w:tcPr>
            <w:tcW w:w="1261" w:type="pct"/>
          </w:tcPr>
          <w:p w14:paraId="5E661E58" w14:textId="0847B8FD" w:rsidR="00881ABE" w:rsidRPr="004D6136" w:rsidRDefault="00685DE4" w:rsidP="00881ABE">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Alin.(8) stabilește obligații pentru autorități europene – Autoritatea Bancară Europeană.</w:t>
            </w:r>
          </w:p>
        </w:tc>
      </w:tr>
      <w:tr w:rsidR="00EA5CC2" w:rsidRPr="004D6136" w14:paraId="0E58A6BE" w14:textId="77777777" w:rsidTr="005324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519B3EDE" w14:textId="77777777" w:rsidR="00EA5CC2" w:rsidRPr="004D6136" w:rsidRDefault="00EA5CC2" w:rsidP="00EA5CC2">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 xml:space="preserve">(9)   Autoritățile competente consultă ABE pentru a stabili dacă instituțiile, altele decât cele menționate la </w:t>
            </w:r>
            <w:r w:rsidRPr="004D6136">
              <w:rPr>
                <w:rFonts w:ascii="Times New Roman" w:hAnsi="Times New Roman" w:cs="Times New Roman"/>
                <w:bCs/>
                <w:color w:val="000000" w:themeColor="text1"/>
                <w:lang w:val="ro-MD"/>
              </w:rPr>
              <w:lastRenderedPageBreak/>
              <w:t>alineatele (3) și (4), ar trebui să raporteze informațiile financiare pe bază consolidată în conformitate cu alineatul (3), dacă sunt îndeplinite cumulativ următoarele condiții:</w:t>
            </w:r>
          </w:p>
          <w:p w14:paraId="4E250C3F" w14:textId="0CD232ED" w:rsidR="00EA5CC2" w:rsidRPr="004D6136" w:rsidRDefault="00EA5CC2" w:rsidP="00EA5CC2">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(a) instituțiile relevante nu raportează deja pe bază consolidată;</w:t>
            </w:r>
          </w:p>
          <w:p w14:paraId="01676B0B" w14:textId="7D12B3E5" w:rsidR="00EA5CC2" w:rsidRPr="004D6136" w:rsidRDefault="00EA5CC2" w:rsidP="00EA5CC2">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(b) instituțiile relevante intră sub incidența unui cadru contabil în conformitate cu Directiva 86/635/CEE;</w:t>
            </w:r>
          </w:p>
          <w:p w14:paraId="79967551" w14:textId="71BD8240" w:rsidR="00EA5CC2" w:rsidRPr="004D6136" w:rsidRDefault="00EA5CC2" w:rsidP="00EA5CC2">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(c) raportarea financiară este considerată necesară pentru a oferi o imagine cuprinzătoare asupra profilului de risc al activităților instituțiilor respective și asupra riscurilor sistemice pe care le prezintă pentru sectorul financiar sau pentru economia reală, astfel cum se prevede în Regulamentul (UE) nr. 1093/2010.</w:t>
            </w:r>
          </w:p>
          <w:p w14:paraId="0235861C" w14:textId="68D6C800" w:rsidR="00EA5CC2" w:rsidRPr="004D6136" w:rsidRDefault="00EA5CC2" w:rsidP="00EA5CC2">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ABE elaborează proiecte de standarde tehnice de punere în aplicare care să specifice formatele și modelele pe care instituțiile menționate la primul paragraf le utilizează în scopurile prevăzute la paragraful respectiv.</w:t>
            </w:r>
          </w:p>
          <w:p w14:paraId="2E12B4FC" w14:textId="297AD8AA" w:rsidR="00EA5CC2" w:rsidRPr="004D6136" w:rsidRDefault="00EA5CC2" w:rsidP="00EA5CC2">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Se conferă Comisiei competența de a adopta standardele de punere în aplicare menționate la al doilea paragraf de la prezentul alineat în conformitate cu articolul 15 din Regulamentul (UE) nr. 1093/2010.</w:t>
            </w:r>
          </w:p>
        </w:tc>
        <w:tc>
          <w:tcPr>
            <w:tcW w:w="1557" w:type="pct"/>
            <w:shd w:val="clear" w:color="auto" w:fill="auto"/>
          </w:tcPr>
          <w:p w14:paraId="1EB5FB8B" w14:textId="7F5D67CC" w:rsidR="00EA5CC2" w:rsidRPr="004D6136" w:rsidRDefault="00EA5CC2" w:rsidP="00EA5CC2">
            <w:pPr>
              <w:shd w:val="clear" w:color="auto" w:fill="FFFFFF"/>
              <w:spacing w:after="0" w:line="312" w:lineRule="atLeast"/>
              <w:rPr>
                <w:rFonts w:ascii="Times New Roman" w:hAnsi="Times New Roman" w:cs="Times New Roman"/>
                <w:bCs/>
                <w:color w:val="000000" w:themeColor="text1"/>
                <w:lang w:val="ro-MD"/>
              </w:rPr>
            </w:pPr>
          </w:p>
        </w:tc>
        <w:tc>
          <w:tcPr>
            <w:tcW w:w="585" w:type="pct"/>
          </w:tcPr>
          <w:p w14:paraId="467FCEB9" w14:textId="2BB17896" w:rsidR="00EA5CC2" w:rsidRPr="004D6136" w:rsidRDefault="00EA5CC2" w:rsidP="00EA5CC2">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Prevederi UE neaplicabile</w:t>
            </w:r>
          </w:p>
        </w:tc>
        <w:tc>
          <w:tcPr>
            <w:tcW w:w="1261" w:type="pct"/>
          </w:tcPr>
          <w:p w14:paraId="302A7722" w14:textId="5B2FFB9F" w:rsidR="00EA5CC2" w:rsidRPr="004D6136" w:rsidRDefault="00EA5CC2" w:rsidP="00EA5CC2">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Alin.(9) stabilește prevederi aplicabile autorităților competente din UE.</w:t>
            </w:r>
          </w:p>
        </w:tc>
      </w:tr>
      <w:tr w:rsidR="00EA5CC2" w:rsidRPr="004D6136" w14:paraId="749663C3" w14:textId="77777777" w:rsidTr="005324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431F35D9" w14:textId="6F8675F4" w:rsidR="00EA5CC2" w:rsidRPr="004D6136" w:rsidRDefault="00EA5CC2" w:rsidP="00EA5CC2">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lastRenderedPageBreak/>
              <w:t>(10)   În cazul în care o autoritate competentă consideră necesare, în scopurile menționate la alineatul (5), o serie de informații care nu fac obiectul standardelor tehnice de punere în aplicare menționate la alineatul (7), aceasta informează ABE și CERS cu privire la informațiile suplimentare pe care le consideră necesare să fie incluse în standardele tehnice de punere în aplicare menționate la alineatul respectiv.</w:t>
            </w:r>
          </w:p>
        </w:tc>
        <w:tc>
          <w:tcPr>
            <w:tcW w:w="1557" w:type="pct"/>
            <w:shd w:val="clear" w:color="auto" w:fill="auto"/>
          </w:tcPr>
          <w:p w14:paraId="1F618FCA" w14:textId="3D63EE2D" w:rsidR="00EA5CC2" w:rsidRPr="004D6136" w:rsidRDefault="00EA5CC2" w:rsidP="00EA5CC2">
            <w:pPr>
              <w:shd w:val="clear" w:color="auto" w:fill="FFFFFF"/>
              <w:spacing w:after="0" w:line="312" w:lineRule="atLeast"/>
              <w:rPr>
                <w:rFonts w:ascii="Times New Roman" w:hAnsi="Times New Roman" w:cs="Times New Roman"/>
                <w:bCs/>
                <w:color w:val="000000" w:themeColor="text1"/>
                <w:lang w:val="ro-MD"/>
              </w:rPr>
            </w:pPr>
          </w:p>
        </w:tc>
        <w:tc>
          <w:tcPr>
            <w:tcW w:w="585" w:type="pct"/>
          </w:tcPr>
          <w:p w14:paraId="7CD5F692" w14:textId="73FFB462" w:rsidR="00EA5CC2" w:rsidRPr="004D6136" w:rsidRDefault="00EA5CC2" w:rsidP="00EA5CC2">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Prevederi UE neaplicabile</w:t>
            </w:r>
          </w:p>
        </w:tc>
        <w:tc>
          <w:tcPr>
            <w:tcW w:w="1261" w:type="pct"/>
          </w:tcPr>
          <w:p w14:paraId="3761361A" w14:textId="1F0B1272" w:rsidR="00EA5CC2" w:rsidRPr="004D6136" w:rsidRDefault="00EA5CC2" w:rsidP="00EA5CC2">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Alin.(10) stabilește prevederi aplicabile autorităților competente din UE.</w:t>
            </w:r>
          </w:p>
        </w:tc>
      </w:tr>
      <w:tr w:rsidR="00EA5CC2" w:rsidRPr="004D6136" w14:paraId="3D9C26EF" w14:textId="77777777" w:rsidTr="005324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shd w:val="clear" w:color="auto" w:fill="auto"/>
          </w:tcPr>
          <w:p w14:paraId="2A8BAF5D" w14:textId="77777777" w:rsidR="00EA5CC2" w:rsidRPr="004D6136" w:rsidRDefault="00EA5CC2" w:rsidP="00EA5CC2">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 xml:space="preserve">(11)   Autoritățile competente pot renunța la cerința de a prezenta oricare dintre punctele de date prevăzute în modelele de raportare specificate în standardele tehnice de punere în aplicare menționate la prezentul articol în cazul în care aceste puncte de date sunt repetitive. În aceste scopuri, punctele de date repetitive se referă la punctele de date care sunt deja la dispoziția autorităților competente prin alte mijloace decât colectarea acestor modele de raportare, inclusiv în cazul în care respectivele puncte de date pot fi obținute din datele aflate deja la dispoziția autorităților competente în diferite formate sau niveluri de detaliu; autoritățile competente pot invoca renunțarea menționată în prezentul alineat doar dacă datele obținute, compilate sau agregate prin astfel de </w:t>
            </w:r>
            <w:r w:rsidRPr="004D6136">
              <w:rPr>
                <w:rFonts w:ascii="Times New Roman" w:hAnsi="Times New Roman" w:cs="Times New Roman"/>
                <w:bCs/>
                <w:color w:val="000000" w:themeColor="text1"/>
                <w:lang w:val="ro-MD"/>
              </w:rPr>
              <w:lastRenderedPageBreak/>
              <w:t>metode alternative sunt identice cu acele puncte de date care ar trebui altfel raportate conform standardelor tehnice de punere în aplicare relevante;</w:t>
            </w:r>
          </w:p>
          <w:p w14:paraId="0388DB61" w14:textId="069257EE" w:rsidR="00EA5CC2" w:rsidRPr="004D6136" w:rsidRDefault="00EA5CC2" w:rsidP="00EA5CC2">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Autoritățile competente, autoritățile de rezoluție și autoritățile desemnate fac apel la schimbul de date ori de câte ori este posibil pentru a elimina cerințe de raportare. Se aplică dispozițiile privind schimbul de informații și secretul profesional, astfel cum sunt prevăzute în titlul VII capitolul I secțiunea II din Directiva 2013/36/UE.</w:t>
            </w:r>
          </w:p>
        </w:tc>
        <w:tc>
          <w:tcPr>
            <w:tcW w:w="1557" w:type="pct"/>
            <w:shd w:val="clear" w:color="auto" w:fill="auto"/>
          </w:tcPr>
          <w:p w14:paraId="3454BCA8" w14:textId="0406CF19" w:rsidR="00EA5CC2" w:rsidRPr="004D6136" w:rsidRDefault="00EA5CC2" w:rsidP="00EA5CC2">
            <w:pPr>
              <w:shd w:val="clear" w:color="auto" w:fill="FFFFFF"/>
              <w:spacing w:after="0" w:line="312" w:lineRule="atLeast"/>
              <w:rPr>
                <w:rFonts w:ascii="Times New Roman" w:hAnsi="Times New Roman" w:cs="Times New Roman"/>
                <w:bCs/>
                <w:color w:val="000000" w:themeColor="text1"/>
                <w:lang w:val="ro-MD"/>
              </w:rPr>
            </w:pPr>
          </w:p>
        </w:tc>
        <w:tc>
          <w:tcPr>
            <w:tcW w:w="585" w:type="pct"/>
          </w:tcPr>
          <w:p w14:paraId="31D63726" w14:textId="1B4FFD07" w:rsidR="00EA5CC2" w:rsidRPr="004D6136" w:rsidRDefault="00EA5CC2" w:rsidP="00EA5CC2">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Prevederi UE neaplicabile</w:t>
            </w:r>
          </w:p>
        </w:tc>
        <w:tc>
          <w:tcPr>
            <w:tcW w:w="1261" w:type="pct"/>
          </w:tcPr>
          <w:p w14:paraId="020E768A" w14:textId="31B5BAB0" w:rsidR="00EA5CC2" w:rsidRPr="00C1591B" w:rsidRDefault="00EA5CC2" w:rsidP="00EA5CC2">
            <w:pPr>
              <w:shd w:val="clear" w:color="auto" w:fill="FFFFFF"/>
              <w:spacing w:after="0" w:line="312" w:lineRule="atLeast"/>
              <w:rPr>
                <w:rFonts w:ascii="Times New Roman" w:hAnsi="Times New Roman" w:cs="Times New Roman"/>
                <w:bCs/>
                <w:color w:val="000000" w:themeColor="text1"/>
                <w:lang w:val="ro-MD"/>
              </w:rPr>
            </w:pPr>
            <w:r w:rsidRPr="004D6136">
              <w:rPr>
                <w:rFonts w:ascii="Times New Roman" w:hAnsi="Times New Roman" w:cs="Times New Roman"/>
                <w:bCs/>
                <w:color w:val="000000" w:themeColor="text1"/>
                <w:lang w:val="ro-MD"/>
              </w:rPr>
              <w:t>Alin.(11) stabilește prevederi aplicabile autorităților competente din UE.</w:t>
            </w:r>
          </w:p>
        </w:tc>
      </w:tr>
    </w:tbl>
    <w:p w14:paraId="160829AF" w14:textId="77777777" w:rsidR="00C75135" w:rsidRPr="004956A6" w:rsidRDefault="00C75135">
      <w:pPr>
        <w:rPr>
          <w:lang w:val="ro-MD"/>
        </w:rPr>
      </w:pPr>
    </w:p>
    <w:sectPr w:rsidR="00C75135" w:rsidRPr="004956A6" w:rsidSect="002340E1">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94A06" w14:textId="77777777" w:rsidR="00B05CDF" w:rsidRDefault="00B05CDF" w:rsidP="00716DAB">
      <w:pPr>
        <w:spacing w:after="0" w:line="240" w:lineRule="auto"/>
      </w:pPr>
      <w:r>
        <w:separator/>
      </w:r>
    </w:p>
  </w:endnote>
  <w:endnote w:type="continuationSeparator" w:id="0">
    <w:p w14:paraId="3332F975" w14:textId="77777777" w:rsidR="00B05CDF" w:rsidRDefault="00B05CDF" w:rsidP="00716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6299A" w14:textId="045391A1" w:rsidR="00716DAB" w:rsidRDefault="00B3623A">
    <w:pPr>
      <w:pStyle w:val="Footer"/>
    </w:pPr>
    <w:r>
      <w:rPr>
        <w:noProof/>
        <w14:ligatures w14:val="standardContextual"/>
      </w:rPr>
      <mc:AlternateContent>
        <mc:Choice Requires="wps">
          <w:drawing>
            <wp:anchor distT="0" distB="0" distL="0" distR="0" simplePos="0" relativeHeight="251662336" behindDoc="0" locked="0" layoutInCell="1" allowOverlap="1" wp14:anchorId="15067521" wp14:editId="1AAFB62D">
              <wp:simplePos x="635" y="635"/>
              <wp:positionH relativeFrom="page">
                <wp:align>center</wp:align>
              </wp:positionH>
              <wp:positionV relativeFrom="page">
                <wp:align>bottom</wp:align>
              </wp:positionV>
              <wp:extent cx="443865" cy="443865"/>
              <wp:effectExtent l="0" t="0" r="4445" b="0"/>
              <wp:wrapNone/>
              <wp:docPr id="11" name="Text Box 11"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8A3864" w14:textId="13A20D0D" w:rsidR="00B3623A" w:rsidRPr="00422F16" w:rsidRDefault="00B3623A" w:rsidP="00B3623A">
                          <w:pPr>
                            <w:spacing w:after="0"/>
                            <w:rPr>
                              <w:rFonts w:ascii="Calibri" w:eastAsia="Calibri" w:hAnsi="Calibri" w:cs="Calibri"/>
                              <w:noProof/>
                              <w:color w:val="000000"/>
                              <w:sz w:val="16"/>
                              <w:szCs w:val="16"/>
                              <w:lang w:val="it-IT"/>
                            </w:rPr>
                          </w:pPr>
                          <w:r w:rsidRPr="00422F16">
                            <w:rPr>
                              <w:rFonts w:ascii="Calibri" w:eastAsia="Calibri" w:hAnsi="Calibri" w:cs="Calibri"/>
                              <w:noProof/>
                              <w:color w:val="000000"/>
                              <w:sz w:val="16"/>
                              <w:szCs w:val="16"/>
                              <w:lang w:val="it-IT"/>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067521" id="_x0000_t202" coordsize="21600,21600" o:spt="202" path="m,l,21600r21600,l21600,xe">
              <v:stroke joinstyle="miter"/>
              <v:path gradientshapeok="t" o:connecttype="rect"/>
            </v:shapetype>
            <v:shape id="Text Box 11" o:spid="_x0000_s1028" type="#_x0000_t202" alt="Atenţie! Se interzice deţinerea, sustragerea, alterarea, multiplicarea, distrugerea sau folosirea  acestui document fără a dispune de drept de acces autorizat."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3W4cCwIAABwEAAAOAAAAZHJzL2Uyb0RvYy54bWysU01v2zAMvQ/YfxB0X+xkbdEacYqsRYYB QVsgHXqWZSk2IImCpMTOfv0o2U62bqdhF/mZpPjx+LS877UiR+F8C6ak81lOiTAc6tbsS/r9dfPp lhIfmKmZAiNKehKe3q8+flh2thALaEDVwhFMYnzR2ZI2IdgiyzxvhGZ+BlYYdEpwmgX8dfusdqzD 7Fplizy/yTpwtXXAhfdofRycdJXySyl4eJbSi0BUSbG3kE6Xziqe2WrJir1jtmn52Ab7hy40aw0W Pad6ZIGRg2v/SKVb7sCDDDMOOgMpWy7SDDjNPH83za5hVqRZkBxvzzT5/5eWPx139sWR0H+BHhcY CemsLzwa4zy9dDp+sVOCfqTwdKZN9IFwNF5dfb69uaaEo2vEmCW7XLbOh68CNImgpA63kshix60P Q+gUEmsZ2LRKpc0o85sBc0ZLdukwotBXPWnrki6m7iuoTziUg2Hf3vJNi6W3zIcX5nDBOAeKNjzj IRV0JYURUdKA+/E3e4xH3tFLSYeCKalBRVOivhncR9TWBNwEqgTmd/l1jn5z0A+AMpzji7A8QbS6 oCYoHeg3lPM6FkIXMxzLlbSa4EMYlIvPgYv1OgWhjCwLW7OzPKaOdEUuX/s35uxIeMBNPcGkJla8 432IjTe9XR8Csp+WEqkdiBwZRwmmtY7PJWr81/8UdXnUq58AAAD//wMAUEsDBBQABgAIAAAAIQA3 7dH42QAAAAMBAAAPAAAAZHJzL2Rvd25yZXYueG1sTI9BT8MwDIXvSPyHyEjcWMomJlaaTmgSpyGk bVy4eYnXFhqnatyt+/cEOLCLn6xnvfe5WI6+VUfqYxPYwP0kA0Vsg2u4MvC+e7l7BBUF2WEbmAyc KcKyvL4qMHfhxBs6bqVSKYRjjgZqkS7XOtqaPMZJ6IiTdwi9R0lrX2nX4ymF+1ZPs2yuPTacGmrs aFWT/doO3sDDRl6HN97NPsbp+XPdrezssLbG3N6Mz0+ghEb5P4Yf/IQOZWLah4FdVK2B9Ij8zuTN FwtQ+z/VZaEv2ctvAAAA//8DAFBLAQItABQABgAIAAAAIQC2gziS/gAAAOEBAAATAAAAAAAAAAAA AAAAAAAAAABbQ29udGVudF9UeXBlc10ueG1sUEsBAi0AFAAGAAgAAAAhADj9If/WAAAAlAEAAAsA AAAAAAAAAAAAAAAALwEAAF9yZWxzLy5yZWxzUEsBAi0AFAAGAAgAAAAhALjdbhwLAgAAHAQAAA4A AAAAAAAAAAAAAAAALgIAAGRycy9lMm9Eb2MueG1sUEsBAi0AFAAGAAgAAAAhADft0fjZAAAAAwEA AA8AAAAAAAAAAAAAAAAAZQQAAGRycy9kb3ducmV2LnhtbFBLBQYAAAAABAAEAPMAAABrBQAAAAA= " filled="f" stroked="f">
              <v:textbox style="mso-fit-shape-to-text:t" inset="0,0,0,15pt">
                <w:txbxContent>
                  <w:p w14:paraId="2A8A3864" w14:textId="13A20D0D" w:rsidR="00B3623A" w:rsidRPr="00422F16" w:rsidRDefault="00B3623A" w:rsidP="00B3623A">
                    <w:pPr>
                      <w:spacing w:after="0"/>
                      <w:rPr>
                        <w:rFonts w:ascii="Calibri" w:eastAsia="Calibri" w:hAnsi="Calibri" w:cs="Calibri"/>
                        <w:noProof/>
                        <w:color w:val="000000"/>
                        <w:sz w:val="16"/>
                        <w:szCs w:val="16"/>
                        <w:lang w:val="it-IT"/>
                      </w:rPr>
                    </w:pPr>
                    <w:r w:rsidRPr="00422F16">
                      <w:rPr>
                        <w:rFonts w:ascii="Calibri" w:eastAsia="Calibri" w:hAnsi="Calibri" w:cs="Calibri"/>
                        <w:noProof/>
                        <w:color w:val="000000"/>
                        <w:sz w:val="16"/>
                        <w:szCs w:val="16"/>
                        <w:lang w:val="it-IT"/>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752432"/>
      <w:docPartObj>
        <w:docPartGallery w:val="Page Numbers (Bottom of Page)"/>
        <w:docPartUnique/>
      </w:docPartObj>
    </w:sdtPr>
    <w:sdtEndPr>
      <w:rPr>
        <w:noProof/>
      </w:rPr>
    </w:sdtEndPr>
    <w:sdtContent>
      <w:p w14:paraId="51BCC364" w14:textId="7E5D1C04" w:rsidR="00813D56" w:rsidRDefault="00813D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3B2A15" w14:textId="0E2C3A14" w:rsidR="00716DAB" w:rsidRPr="001F53A9" w:rsidRDefault="00716DAB" w:rsidP="00716DAB">
    <w:pPr>
      <w:pStyle w:val="Footer"/>
      <w:jc w:val="center"/>
      <w:rPr>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D9B39" w14:textId="63656D58" w:rsidR="00716DAB" w:rsidRDefault="00B3623A">
    <w:pPr>
      <w:pStyle w:val="Footer"/>
    </w:pPr>
    <w:r>
      <w:rPr>
        <w:noProof/>
        <w14:ligatures w14:val="standardContextual"/>
      </w:rPr>
      <mc:AlternateContent>
        <mc:Choice Requires="wps">
          <w:drawing>
            <wp:anchor distT="0" distB="0" distL="0" distR="0" simplePos="0" relativeHeight="251661312" behindDoc="0" locked="0" layoutInCell="1" allowOverlap="1" wp14:anchorId="4520BFCE" wp14:editId="04BF965E">
              <wp:simplePos x="635" y="635"/>
              <wp:positionH relativeFrom="page">
                <wp:align>center</wp:align>
              </wp:positionH>
              <wp:positionV relativeFrom="page">
                <wp:align>bottom</wp:align>
              </wp:positionV>
              <wp:extent cx="443865" cy="443865"/>
              <wp:effectExtent l="0" t="0" r="4445" b="0"/>
              <wp:wrapNone/>
              <wp:docPr id="10" name="Text Box 10"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FC601E" w14:textId="60001692" w:rsidR="00B3623A" w:rsidRPr="00422F16" w:rsidRDefault="00B3623A" w:rsidP="00B3623A">
                          <w:pPr>
                            <w:spacing w:after="0"/>
                            <w:rPr>
                              <w:rFonts w:ascii="Calibri" w:eastAsia="Calibri" w:hAnsi="Calibri" w:cs="Calibri"/>
                              <w:noProof/>
                              <w:color w:val="000000"/>
                              <w:sz w:val="16"/>
                              <w:szCs w:val="16"/>
                              <w:lang w:val="it-IT"/>
                            </w:rPr>
                          </w:pPr>
                          <w:r w:rsidRPr="00422F16">
                            <w:rPr>
                              <w:rFonts w:ascii="Calibri" w:eastAsia="Calibri" w:hAnsi="Calibri" w:cs="Calibri"/>
                              <w:noProof/>
                              <w:color w:val="000000"/>
                              <w:sz w:val="16"/>
                              <w:szCs w:val="16"/>
                              <w:lang w:val="it-IT"/>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20BFCE" id="_x0000_t202" coordsize="21600,21600" o:spt="202" path="m,l,21600r21600,l21600,xe">
              <v:stroke joinstyle="miter"/>
              <v:path gradientshapeok="t" o:connecttype="rect"/>
            </v:shapetype>
            <v:shape id="Text Box 10" o:spid="_x0000_s1030" type="#_x0000_t202" alt="Atenţie! Se interzice deţinerea, sustragerea, alterarea, multiplicarea, distrugerea sau folosirea  acestui document fără a dispune de drept de acces autorizat."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XsGRCgIAABwEAAAOAAAAZHJzL2Uyb0RvYy54bWysU01v2zAMvQ/YfxB0X+x0bdEacYqsRYYB QVsgHXpWZCk2IIsCpcTOfv0o2W62bqdhF/mZpPjx+LS461vDjgp9A7bk81nOmbISqsbuS/79Zf3p hjMfhK2EAatKflKe3y0/flh0rlAXUIOpFDJKYn3RuZLXIbgiy7ysVSv8DJyy5NSArQj0i/usQtFR 9tZkF3l+nXWAlUOQynuyPgxOvkz5tVYyPGntVWCm5NRbSCemcxfPbLkQxR6Fqxs5tiH+oYtWNJaK vqV6EEGwAzZ/pGobieBBh5mENgOtG6nSDDTNPH83zbYWTqVZiBzv3mjy/y+tfDxu3TOy0H+BnhYY CemcLzwZ4zy9xjZ+qVNGfqLw9Eab6gOTZLy8/HxzfcWZJNeIKUt2vuzQh68KWhZByZG2ksgSx40P Q+gUEmtZWDfGpM0Y+5uBckZLdu4wotDvetZUVHzqfgfViYZCGPbtnVw3VHojfHgWSAumOUi04YkO baArOYyIsxrwx9/sMZ54Jy9nHQmm5JYUzZn5ZmkfUVsTwAnsEpjf5lc5+e2hvQeS4ZxehJMJkhWD maBGaF9JzqtYiFzCSipX8t0E78OgXHoOUq1WKYhk5ETY2K2TMXWkK3L50r8KdCPhgTb1CJOaRPGO 9yE23vRudQjEflpKpHYgcmScJJjWOj6XqPFf/1PU+VEvfwIAAP//AwBQSwMEFAAGAAgAAAAhADft 0fjZAAAAAwEAAA8AAABkcnMvZG93bnJldi54bWxMj0FPwzAMhe9I/IfISNxYyiYmVppOaBKnIaRt XLh5idcWGqdq3K379wQ4sIufrGe997lYjr5VR+pjE9jA/SQDRWyDa7gy8L57uXsEFQXZYRuYDJwp wrK8viowd+HEGzpupVIphGOOBmqRLtc62po8xknoiJN3CL1HSWtfadfjKYX7Vk+zbK49Npwaauxo VZP92g7ewMNGXoc33s0+xun5c92t7Oywtsbc3ozPT6CERvk/hh/8hA5lYtqHgV1UrYH0iPzO5M0X C1D7P9VloS/Zy28AAAD//wMAUEsBAi0AFAAGAAgAAAAhALaDOJL+AAAA4QEAABMAAAAAAAAAAAAA AAAAAAAAAFtDb250ZW50X1R5cGVzXS54bWxQSwECLQAUAAYACAAAACEAOP0h/9YAAACUAQAACwAA AAAAAAAAAAAAAAAvAQAAX3JlbHMvLnJlbHNQSwECLQAUAAYACAAAACEA1l7BkQoCAAAcBAAADgAA AAAAAAAAAAAAAAAuAgAAZHJzL2Uyb0RvYy54bWxQSwECLQAUAAYACAAAACEAN+3R+NkAAAADAQAA DwAAAAAAAAAAAAAAAABkBAAAZHJzL2Rvd25yZXYueG1sUEsFBgAAAAAEAAQA8wAAAGoFAAAAAA== " filled="f" stroked="f">
              <v:textbox style="mso-fit-shape-to-text:t" inset="0,0,0,15pt">
                <w:txbxContent>
                  <w:p w14:paraId="0FFC601E" w14:textId="60001692" w:rsidR="00B3623A" w:rsidRPr="00422F16" w:rsidRDefault="00B3623A" w:rsidP="00B3623A">
                    <w:pPr>
                      <w:spacing w:after="0"/>
                      <w:rPr>
                        <w:rFonts w:ascii="Calibri" w:eastAsia="Calibri" w:hAnsi="Calibri" w:cs="Calibri"/>
                        <w:noProof/>
                        <w:color w:val="000000"/>
                        <w:sz w:val="16"/>
                        <w:szCs w:val="16"/>
                        <w:lang w:val="it-IT"/>
                      </w:rPr>
                    </w:pPr>
                    <w:r w:rsidRPr="00422F16">
                      <w:rPr>
                        <w:rFonts w:ascii="Calibri" w:eastAsia="Calibri" w:hAnsi="Calibri" w:cs="Calibri"/>
                        <w:noProof/>
                        <w:color w:val="000000"/>
                        <w:sz w:val="16"/>
                        <w:szCs w:val="16"/>
                        <w:lang w:val="it-IT"/>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95D99" w14:textId="77777777" w:rsidR="00B05CDF" w:rsidRDefault="00B05CDF" w:rsidP="00716DAB">
      <w:pPr>
        <w:spacing w:after="0" w:line="240" w:lineRule="auto"/>
      </w:pPr>
      <w:r>
        <w:separator/>
      </w:r>
    </w:p>
  </w:footnote>
  <w:footnote w:type="continuationSeparator" w:id="0">
    <w:p w14:paraId="3A5F67AB" w14:textId="77777777" w:rsidR="00B05CDF" w:rsidRDefault="00B05CDF" w:rsidP="00716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4DF05" w14:textId="41F3571B" w:rsidR="00716DAB" w:rsidRDefault="00B3623A">
    <w:pPr>
      <w:pStyle w:val="Header"/>
    </w:pPr>
    <w:r>
      <w:rPr>
        <w:noProof/>
        <w14:ligatures w14:val="standardContextual"/>
      </w:rPr>
      <mc:AlternateContent>
        <mc:Choice Requires="wps">
          <w:drawing>
            <wp:anchor distT="0" distB="0" distL="0" distR="0" simplePos="0" relativeHeight="251659264" behindDoc="0" locked="0" layoutInCell="1" allowOverlap="1" wp14:anchorId="2F617ACE" wp14:editId="73A98271">
              <wp:simplePos x="635" y="635"/>
              <wp:positionH relativeFrom="page">
                <wp:align>right</wp:align>
              </wp:positionH>
              <wp:positionV relativeFrom="page">
                <wp:align>top</wp:align>
              </wp:positionV>
              <wp:extent cx="443865" cy="443865"/>
              <wp:effectExtent l="0" t="0" r="0" b="8890"/>
              <wp:wrapNone/>
              <wp:docPr id="6" name="Text Box 6"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27FF07" w14:textId="7C6F8170" w:rsidR="00B3623A" w:rsidRPr="00B3623A" w:rsidRDefault="00B3623A" w:rsidP="00B3623A">
                          <w:pPr>
                            <w:spacing w:after="0"/>
                            <w:rPr>
                              <w:rFonts w:ascii="Calibri" w:eastAsia="Calibri" w:hAnsi="Calibri" w:cs="Calibri"/>
                              <w:noProof/>
                              <w:color w:val="000000"/>
                              <w:sz w:val="24"/>
                              <w:szCs w:val="24"/>
                            </w:rPr>
                          </w:pPr>
                          <w:r w:rsidRPr="00B3623A">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F617ACE" id="_x0000_t202" coordsize="21600,21600" o:spt="202" path="m,l,21600r21600,l21600,xe">
              <v:stroke joinstyle="miter"/>
              <v:path gradientshapeok="t" o:connecttype="rect"/>
            </v:shapetype>
            <v:shape id="Text Box 6" o:spid="_x0000_s1026" type="#_x0000_t202" alt="SP-2"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YJ4bCgIAABoEAAAOAAAAZHJzL2Uyb0RvYy54bWysU1tr2zAUfh/sPwi9L3aypLQmTslaMgah LaSjz4osxQZJR0hK7OzX70i2k63b09iLfG4+l+98Z3nfaUVOwvkGTEmnk5wSYThUjTmU9Pvr5tMt JT4wUzEFRpT0LDy9X338sGxtIWZQg6qEI5jE+KK1Ja1DsEWWeV4LzfwErDDolOA0C6i6Q1Y51mJ2 rbJZnt9kLbjKOuDCe7Q+9k66SvmlFDw8S+lFIKqk2FtIr0vvPr7ZasmKg2O2bvjQBvuHLjRrDBa9 pHpkgZGja/5IpRvuwIMMEw46AykbLtIMOM00fzfNrmZWpFkQHG8vMPn/l5Y/nXb2xZHQfYEOFxgB aa0vPBrjPJ10On6xU4J+hPB8gU10gXA0zuefb28WlHB0DTJmya4/W+fDVwGaRKGkDreSwGKnrQ99 6BgSaxnYNEqlzSjzmwFzRkt27TBKodt3Q9t7qM44jYN+0d7yTYM1t8yHF+ZwszgAsjU84yMVtCWF QaKkBvfjb/YYj4Cjl5IWmVJSg1SmRH0zuIhIqiRM7/JFjppL2mwxz6O2H4PMUT8AknCK92B5EmNw UKMoHeg3JPM6VkMXMxxrljSM4kPoeYvHwMV6nYKQRJaFrdlZHlNHsCKSr90bc3aAO+CenmDkEive od7Hxj+9XR8DYp9WEoHt0RzwRgKmpQ7HEhn+q56irie9+gkAAP//AwBQSwMEFAAGAAgAAAAhAHdX hELaAAAAAwEAAA8AAABkcnMvZG93bnJldi54bWxMj0FLw0AQhe+C/2GZghexGxVKE7MpIhTswYOt OXibZKdJaHY27G7T5N+76kEv8xje8N43+WYyvRjJ+c6ygvtlAoK4trrjRsHHYXu3BuEDssbeMimY ycOmuL7KMdP2wu807kMjYgj7DBW0IQyZlL5uyaBf2oE4ekfrDIa4ukZqh5cYbnr5kCQrabDj2NDi QC8t1af92SgoJ3f7tk13r3P12Y1zsisf18dSqZvF9PwEItAU/o7hGz+iQxGZKntm7UWvID4Sfmb0 VmkKovpVWeTyP3vxBQAA//8DAFBLAQItABQABgAIAAAAIQC2gziS/gAAAOEBAAATAAAAAAAAAAAA AAAAAAAAAABbQ29udGVudF9UeXBlc10ueG1sUEsBAi0AFAAGAAgAAAAhADj9If/WAAAAlAEAAAsA AAAAAAAAAAAAAAAALwEAAF9yZWxzLy5yZWxzUEsBAi0AFAAGAAgAAAAhAJ1gnhsKAgAAGgQAAA4A AAAAAAAAAAAAAAAALgIAAGRycy9lMm9Eb2MueG1sUEsBAi0AFAAGAAgAAAAhAHdXhELaAAAAAwEA AA8AAAAAAAAAAAAAAAAAZAQAAGRycy9kb3ducmV2LnhtbFBLBQYAAAAABAAEAPMAAABrBQAAAAA= " filled="f" stroked="f">
              <v:textbox style="mso-fit-shape-to-text:t" inset="0,15pt,20pt,0">
                <w:txbxContent>
                  <w:p w14:paraId="3F27FF07" w14:textId="7C6F8170" w:rsidR="00B3623A" w:rsidRPr="00B3623A" w:rsidRDefault="00B3623A" w:rsidP="00B3623A">
                    <w:pPr>
                      <w:spacing w:after="0"/>
                      <w:rPr>
                        <w:rFonts w:ascii="Calibri" w:eastAsia="Calibri" w:hAnsi="Calibri" w:cs="Calibri"/>
                        <w:noProof/>
                        <w:color w:val="000000"/>
                        <w:sz w:val="24"/>
                        <w:szCs w:val="24"/>
                      </w:rPr>
                    </w:pPr>
                    <w:r w:rsidRPr="00B3623A">
                      <w:rPr>
                        <w:rFonts w:ascii="Calibri" w:eastAsia="Calibri" w:hAnsi="Calibri" w:cs="Calibri"/>
                        <w:noProof/>
                        <w:color w:val="000000"/>
                        <w:sz w:val="24"/>
                        <w:szCs w:val="24"/>
                      </w:rPr>
                      <w:t>SP-2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708A" w14:textId="7069F1EC" w:rsidR="00716DAB" w:rsidRDefault="00716DAB" w:rsidP="00716DA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1965" w14:textId="23CCBA30" w:rsidR="00716DAB" w:rsidRDefault="00B3623A">
    <w:pPr>
      <w:pStyle w:val="Header"/>
    </w:pPr>
    <w:r>
      <w:rPr>
        <w:noProof/>
        <w14:ligatures w14:val="standardContextual"/>
      </w:rPr>
      <mc:AlternateContent>
        <mc:Choice Requires="wps">
          <w:drawing>
            <wp:anchor distT="0" distB="0" distL="0" distR="0" simplePos="0" relativeHeight="251658240" behindDoc="0" locked="0" layoutInCell="1" allowOverlap="1" wp14:anchorId="000F7E1C" wp14:editId="39EB8673">
              <wp:simplePos x="635" y="635"/>
              <wp:positionH relativeFrom="page">
                <wp:align>right</wp:align>
              </wp:positionH>
              <wp:positionV relativeFrom="page">
                <wp:align>top</wp:align>
              </wp:positionV>
              <wp:extent cx="443865" cy="443865"/>
              <wp:effectExtent l="0" t="0" r="0" b="8890"/>
              <wp:wrapNone/>
              <wp:docPr id="5" name="Text Box 5"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DD7F5A" w14:textId="266B5592" w:rsidR="00B3623A" w:rsidRPr="00B3623A" w:rsidRDefault="00B3623A" w:rsidP="00B3623A">
                          <w:pPr>
                            <w:spacing w:after="0"/>
                            <w:rPr>
                              <w:rFonts w:ascii="Calibri" w:eastAsia="Calibri" w:hAnsi="Calibri" w:cs="Calibri"/>
                              <w:noProof/>
                              <w:color w:val="000000"/>
                              <w:sz w:val="24"/>
                              <w:szCs w:val="24"/>
                            </w:rPr>
                          </w:pPr>
                          <w:r w:rsidRPr="00B3623A">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00F7E1C" id="_x0000_t202" coordsize="21600,21600" o:spt="202" path="m,l,21600r21600,l21600,xe">
              <v:stroke joinstyle="miter"/>
              <v:path gradientshapeok="t" o:connecttype="rect"/>
            </v:shapetype>
            <v:shape id="Text Box 5" o:spid="_x0000_s1029" type="#_x0000_t202" alt="SP-2"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AKnDwIAACEEAAAOAAAAZHJzL2Uyb0RvYy54bWysU11v2yAUfZ+0/4B4X+ykSdVZcaqsVaZJ UVspnfpMMMSWgIuAxM5+/S7YTrZuT9Ne8P3y5d5zDsv7TityEs43YEo6neSUCMOhasyhpN9fN5/u KPGBmYopMKKkZ+Hp/erjh2VrCzGDGlQlHMEmxhetLWkdgi2yzPNaaOYnYIXBpASnWUDXHbLKsRa7 a5XN8vw2a8FV1gEX3mP0sU/SVeovpeDhWUovAlElxdlCOl069/HMVktWHByzdcOHMdg/TKFZY/DS S6tHFhg5uuaPVrrhDjzIMOGgM5Cy4SLtgNtM83fb7GpmRdoFwfH2ApP/f23502lnXxwJ3RfokMAI SGt94TEY9+mk0/GLkxLMI4TnC2yiC4RjcD6/ubtdUMIxNdjYJbv+bJ0PXwVoEo2SOmQlgcVOWx/6 0rEk3mVg0yiVmFHmtwD2jJHsOmG0QrfvSFOV9Gacfg/VGZdy0PPtLd80ePWW+fDCHBKMe6BowzMe UkFbUhgsSmpwP/4Wj/WIO2YpaVEwJTWoaErUN4N8RG0lY/o5X+ToueTNFvM8evuxyBz1A6AWp/gs LE9mLA5qNKUD/YaaXsfbMMUMxztLGkbzIfTyxTfBxXqdilBLloWt2VkeW0fMIqCv3RtzdkA9IF1P MEqKFe/A72vjn96ujwEpSMxEfHs0B9hRh4nb4c1Eof/qp6rry179BAAA//8DAFBLAwQUAAYACAAA ACEAd1eEQtoAAAADAQAADwAAAGRycy9kb3ducmV2LnhtbEyPQUvDQBCF74L/YZmCF7EbFUoTsyki FOzBg605eJtkp0lodjbsbtPk37vqQS/zGN7w3jf5ZjK9GMn5zrKC+2UCgri2uuNGwcdhe7cG4QOy xt4yKZjJw6a4vsox0/bC7zTuQyNiCPsMFbQhDJmUvm7JoF/agTh6R+sMhri6RmqHlxhuevmQJCtp sOPY0OJALy3Vp/3ZKCgnd/u2TXevc/XZjXOyKx/Xx1Kpm8X0/AQi0BT+juEbP6JDEZkqe2btRa8g PhJ+ZvRWaQqi+lVZ5PI/e/EFAAD//wMAUEsBAi0AFAAGAAgAAAAhALaDOJL+AAAA4QEAABMAAAAA AAAAAAAAAAAAAAAAAFtDb250ZW50X1R5cGVzXS54bWxQSwECLQAUAAYACAAAACEAOP0h/9YAAACU AQAACwAAAAAAAAAAAAAAAAAvAQAAX3JlbHMvLnJlbHNQSwECLQAUAAYACAAAACEAvjQCpw8CAAAh BAAADgAAAAAAAAAAAAAAAAAuAgAAZHJzL2Uyb0RvYy54bWxQSwECLQAUAAYACAAAACEAd1eEQtoA AAADAQAADwAAAAAAAAAAAAAAAABpBAAAZHJzL2Rvd25yZXYueG1sUEsFBgAAAAAEAAQA8wAAAHAF AAAAAA== " filled="f" stroked="f">
              <v:textbox style="mso-fit-shape-to-text:t" inset="0,15pt,20pt,0">
                <w:txbxContent>
                  <w:p w14:paraId="22DD7F5A" w14:textId="266B5592" w:rsidR="00B3623A" w:rsidRPr="00B3623A" w:rsidRDefault="00B3623A" w:rsidP="00B3623A">
                    <w:pPr>
                      <w:spacing w:after="0"/>
                      <w:rPr>
                        <w:rFonts w:ascii="Calibri" w:eastAsia="Calibri" w:hAnsi="Calibri" w:cs="Calibri"/>
                        <w:noProof/>
                        <w:color w:val="000000"/>
                        <w:sz w:val="24"/>
                        <w:szCs w:val="24"/>
                      </w:rPr>
                    </w:pPr>
                    <w:r w:rsidRPr="00B3623A">
                      <w:rPr>
                        <w:rFonts w:ascii="Calibri" w:eastAsia="Calibri" w:hAnsi="Calibri" w:cs="Calibri"/>
                        <w:noProof/>
                        <w:color w:val="000000"/>
                        <w:sz w:val="24"/>
                        <w:szCs w:val="24"/>
                      </w:rPr>
                      <w:t>SP-2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05D"/>
    <w:multiLevelType w:val="hybridMultilevel"/>
    <w:tmpl w:val="824C3E56"/>
    <w:lvl w:ilvl="0" w:tplc="AFEA1596">
      <w:start w:val="34"/>
      <w:numFmt w:val="decimal"/>
      <w:lvlText w:val="(%1)"/>
      <w:lvlJc w:val="left"/>
      <w:pPr>
        <w:ind w:left="1200" w:hanging="84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1AD35591"/>
    <w:multiLevelType w:val="multilevel"/>
    <w:tmpl w:val="FE943D62"/>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23203E48"/>
    <w:multiLevelType w:val="hybridMultilevel"/>
    <w:tmpl w:val="FC06172C"/>
    <w:lvl w:ilvl="0" w:tplc="0C6A90E4">
      <w:start w:val="3"/>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num w:numId="1" w16cid:durableId="1737625705">
    <w:abstractNumId w:val="1"/>
  </w:num>
  <w:num w:numId="2" w16cid:durableId="1181504907">
    <w:abstractNumId w:val="2"/>
  </w:num>
  <w:num w:numId="3" w16cid:durableId="365639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C04"/>
    <w:rsid w:val="00000EFD"/>
    <w:rsid w:val="00002824"/>
    <w:rsid w:val="00003578"/>
    <w:rsid w:val="00005836"/>
    <w:rsid w:val="000070C9"/>
    <w:rsid w:val="00016086"/>
    <w:rsid w:val="00020CC4"/>
    <w:rsid w:val="00027FE6"/>
    <w:rsid w:val="00046244"/>
    <w:rsid w:val="00062473"/>
    <w:rsid w:val="00065E0E"/>
    <w:rsid w:val="00072A0D"/>
    <w:rsid w:val="000731C4"/>
    <w:rsid w:val="0009072F"/>
    <w:rsid w:val="00090A3E"/>
    <w:rsid w:val="00092C36"/>
    <w:rsid w:val="000A2F4D"/>
    <w:rsid w:val="000A4F46"/>
    <w:rsid w:val="000B37D7"/>
    <w:rsid w:val="000D1842"/>
    <w:rsid w:val="000E185D"/>
    <w:rsid w:val="000E2353"/>
    <w:rsid w:val="000E2B18"/>
    <w:rsid w:val="000E4858"/>
    <w:rsid w:val="000F1D98"/>
    <w:rsid w:val="000F7820"/>
    <w:rsid w:val="00116E4A"/>
    <w:rsid w:val="00137743"/>
    <w:rsid w:val="00145423"/>
    <w:rsid w:val="001461D3"/>
    <w:rsid w:val="001637EB"/>
    <w:rsid w:val="00166A52"/>
    <w:rsid w:val="0017292A"/>
    <w:rsid w:val="001732B3"/>
    <w:rsid w:val="0018380A"/>
    <w:rsid w:val="0018631A"/>
    <w:rsid w:val="001926F1"/>
    <w:rsid w:val="00194347"/>
    <w:rsid w:val="001A2A38"/>
    <w:rsid w:val="001A47C7"/>
    <w:rsid w:val="001A5FC4"/>
    <w:rsid w:val="001B314E"/>
    <w:rsid w:val="001B373A"/>
    <w:rsid w:val="001B5F8F"/>
    <w:rsid w:val="001D5DA4"/>
    <w:rsid w:val="001D784B"/>
    <w:rsid w:val="001F32AB"/>
    <w:rsid w:val="001F53A9"/>
    <w:rsid w:val="001F7164"/>
    <w:rsid w:val="002051E7"/>
    <w:rsid w:val="00220AF3"/>
    <w:rsid w:val="00222034"/>
    <w:rsid w:val="00223065"/>
    <w:rsid w:val="002301B4"/>
    <w:rsid w:val="00230FBD"/>
    <w:rsid w:val="002340E1"/>
    <w:rsid w:val="0023469D"/>
    <w:rsid w:val="002348DE"/>
    <w:rsid w:val="0024293D"/>
    <w:rsid w:val="00243154"/>
    <w:rsid w:val="00280100"/>
    <w:rsid w:val="002A018A"/>
    <w:rsid w:val="002A5ECA"/>
    <w:rsid w:val="002A69AA"/>
    <w:rsid w:val="002A6E8A"/>
    <w:rsid w:val="002F7561"/>
    <w:rsid w:val="002F785E"/>
    <w:rsid w:val="00305BF7"/>
    <w:rsid w:val="00312EEE"/>
    <w:rsid w:val="00314DC4"/>
    <w:rsid w:val="00320910"/>
    <w:rsid w:val="00332C04"/>
    <w:rsid w:val="00350564"/>
    <w:rsid w:val="00350ADA"/>
    <w:rsid w:val="0035226D"/>
    <w:rsid w:val="00352987"/>
    <w:rsid w:val="00382701"/>
    <w:rsid w:val="0038429B"/>
    <w:rsid w:val="003A71B9"/>
    <w:rsid w:val="003B0DED"/>
    <w:rsid w:val="003D2F9B"/>
    <w:rsid w:val="003F12BD"/>
    <w:rsid w:val="003F489C"/>
    <w:rsid w:val="00422F16"/>
    <w:rsid w:val="00426378"/>
    <w:rsid w:val="00430C1A"/>
    <w:rsid w:val="0043485E"/>
    <w:rsid w:val="00464813"/>
    <w:rsid w:val="004861AC"/>
    <w:rsid w:val="004956A6"/>
    <w:rsid w:val="004A6E49"/>
    <w:rsid w:val="004B67FC"/>
    <w:rsid w:val="004C1581"/>
    <w:rsid w:val="004C18EE"/>
    <w:rsid w:val="004C6284"/>
    <w:rsid w:val="004C720B"/>
    <w:rsid w:val="004D440E"/>
    <w:rsid w:val="004D6136"/>
    <w:rsid w:val="004E12DB"/>
    <w:rsid w:val="00510692"/>
    <w:rsid w:val="00522AEC"/>
    <w:rsid w:val="00531CDD"/>
    <w:rsid w:val="00533010"/>
    <w:rsid w:val="0053573A"/>
    <w:rsid w:val="005375D2"/>
    <w:rsid w:val="0056324C"/>
    <w:rsid w:val="0057484F"/>
    <w:rsid w:val="005A02AC"/>
    <w:rsid w:val="005B62E0"/>
    <w:rsid w:val="005B68B4"/>
    <w:rsid w:val="005B7A23"/>
    <w:rsid w:val="005C78E6"/>
    <w:rsid w:val="0060086D"/>
    <w:rsid w:val="00621D80"/>
    <w:rsid w:val="006246FA"/>
    <w:rsid w:val="00632C0E"/>
    <w:rsid w:val="00633127"/>
    <w:rsid w:val="00636346"/>
    <w:rsid w:val="00670708"/>
    <w:rsid w:val="00680582"/>
    <w:rsid w:val="00685DE4"/>
    <w:rsid w:val="00693821"/>
    <w:rsid w:val="006A3B3A"/>
    <w:rsid w:val="006B3E23"/>
    <w:rsid w:val="006D2495"/>
    <w:rsid w:val="006D69C3"/>
    <w:rsid w:val="006E7BDA"/>
    <w:rsid w:val="00716DAB"/>
    <w:rsid w:val="00721601"/>
    <w:rsid w:val="00744DB7"/>
    <w:rsid w:val="0077404A"/>
    <w:rsid w:val="007825C3"/>
    <w:rsid w:val="007955FA"/>
    <w:rsid w:val="007A5744"/>
    <w:rsid w:val="007B2667"/>
    <w:rsid w:val="007C6E3D"/>
    <w:rsid w:val="0081173A"/>
    <w:rsid w:val="00811DCB"/>
    <w:rsid w:val="00813D56"/>
    <w:rsid w:val="00815C5F"/>
    <w:rsid w:val="00816196"/>
    <w:rsid w:val="00822190"/>
    <w:rsid w:val="008228D4"/>
    <w:rsid w:val="0084591F"/>
    <w:rsid w:val="00854B07"/>
    <w:rsid w:val="0087682F"/>
    <w:rsid w:val="00881ABE"/>
    <w:rsid w:val="008868E5"/>
    <w:rsid w:val="008A15CB"/>
    <w:rsid w:val="008A1D74"/>
    <w:rsid w:val="008B2AFA"/>
    <w:rsid w:val="008B3310"/>
    <w:rsid w:val="008C531D"/>
    <w:rsid w:val="008D7A6D"/>
    <w:rsid w:val="008E16E0"/>
    <w:rsid w:val="008E79CB"/>
    <w:rsid w:val="008F14C9"/>
    <w:rsid w:val="008F58EB"/>
    <w:rsid w:val="009058FD"/>
    <w:rsid w:val="009061C5"/>
    <w:rsid w:val="009203E1"/>
    <w:rsid w:val="00923C3F"/>
    <w:rsid w:val="00951D3F"/>
    <w:rsid w:val="00966CEB"/>
    <w:rsid w:val="009D1982"/>
    <w:rsid w:val="009D5FE4"/>
    <w:rsid w:val="009E247F"/>
    <w:rsid w:val="009E6EE1"/>
    <w:rsid w:val="009F6C63"/>
    <w:rsid w:val="00A03AD9"/>
    <w:rsid w:val="00A1303D"/>
    <w:rsid w:val="00A40233"/>
    <w:rsid w:val="00A42417"/>
    <w:rsid w:val="00A50694"/>
    <w:rsid w:val="00A52162"/>
    <w:rsid w:val="00A55E6A"/>
    <w:rsid w:val="00A6200B"/>
    <w:rsid w:val="00A63619"/>
    <w:rsid w:val="00A6437D"/>
    <w:rsid w:val="00A645D4"/>
    <w:rsid w:val="00A73F6D"/>
    <w:rsid w:val="00A77915"/>
    <w:rsid w:val="00A9310E"/>
    <w:rsid w:val="00A97ECB"/>
    <w:rsid w:val="00AA0E86"/>
    <w:rsid w:val="00AA35BF"/>
    <w:rsid w:val="00AA3BD3"/>
    <w:rsid w:val="00AA3CB5"/>
    <w:rsid w:val="00AB454F"/>
    <w:rsid w:val="00AB5B26"/>
    <w:rsid w:val="00AC7E2B"/>
    <w:rsid w:val="00AD163D"/>
    <w:rsid w:val="00AD246B"/>
    <w:rsid w:val="00AD5639"/>
    <w:rsid w:val="00AE31EC"/>
    <w:rsid w:val="00AE3E2A"/>
    <w:rsid w:val="00AF05C1"/>
    <w:rsid w:val="00B02DCB"/>
    <w:rsid w:val="00B05CDF"/>
    <w:rsid w:val="00B06441"/>
    <w:rsid w:val="00B067D7"/>
    <w:rsid w:val="00B06CCF"/>
    <w:rsid w:val="00B34D60"/>
    <w:rsid w:val="00B3623A"/>
    <w:rsid w:val="00B56114"/>
    <w:rsid w:val="00B8056D"/>
    <w:rsid w:val="00B80A00"/>
    <w:rsid w:val="00B84B91"/>
    <w:rsid w:val="00B97687"/>
    <w:rsid w:val="00BA42F0"/>
    <w:rsid w:val="00BC5EB5"/>
    <w:rsid w:val="00BD0548"/>
    <w:rsid w:val="00BD1D93"/>
    <w:rsid w:val="00BD2CA2"/>
    <w:rsid w:val="00BF376B"/>
    <w:rsid w:val="00BF48CB"/>
    <w:rsid w:val="00BF6DB3"/>
    <w:rsid w:val="00C02C2A"/>
    <w:rsid w:val="00C153CC"/>
    <w:rsid w:val="00C1591B"/>
    <w:rsid w:val="00C15FBB"/>
    <w:rsid w:val="00C31477"/>
    <w:rsid w:val="00C37DAD"/>
    <w:rsid w:val="00C40199"/>
    <w:rsid w:val="00C411D1"/>
    <w:rsid w:val="00C5104F"/>
    <w:rsid w:val="00C70FEA"/>
    <w:rsid w:val="00C72332"/>
    <w:rsid w:val="00C7336D"/>
    <w:rsid w:val="00C75135"/>
    <w:rsid w:val="00C775E4"/>
    <w:rsid w:val="00CB035F"/>
    <w:rsid w:val="00CB614B"/>
    <w:rsid w:val="00CC7033"/>
    <w:rsid w:val="00CD299B"/>
    <w:rsid w:val="00CD6F5C"/>
    <w:rsid w:val="00CF2A62"/>
    <w:rsid w:val="00D129FA"/>
    <w:rsid w:val="00D13CF9"/>
    <w:rsid w:val="00D143BF"/>
    <w:rsid w:val="00D16345"/>
    <w:rsid w:val="00D31BE3"/>
    <w:rsid w:val="00D66AD2"/>
    <w:rsid w:val="00D73ED7"/>
    <w:rsid w:val="00D87FC9"/>
    <w:rsid w:val="00D92794"/>
    <w:rsid w:val="00D96A6E"/>
    <w:rsid w:val="00DA3FCD"/>
    <w:rsid w:val="00DA739B"/>
    <w:rsid w:val="00DB1001"/>
    <w:rsid w:val="00DB3428"/>
    <w:rsid w:val="00DB78A5"/>
    <w:rsid w:val="00DC2DE3"/>
    <w:rsid w:val="00DD47D7"/>
    <w:rsid w:val="00DE76A0"/>
    <w:rsid w:val="00DF7588"/>
    <w:rsid w:val="00E15F97"/>
    <w:rsid w:val="00E17F2E"/>
    <w:rsid w:val="00E30790"/>
    <w:rsid w:val="00E36943"/>
    <w:rsid w:val="00E42428"/>
    <w:rsid w:val="00E61307"/>
    <w:rsid w:val="00E74990"/>
    <w:rsid w:val="00EA40F2"/>
    <w:rsid w:val="00EA5CC2"/>
    <w:rsid w:val="00EA7C09"/>
    <w:rsid w:val="00EB04C3"/>
    <w:rsid w:val="00ED01CA"/>
    <w:rsid w:val="00ED1D32"/>
    <w:rsid w:val="00ED3A60"/>
    <w:rsid w:val="00ED5DCE"/>
    <w:rsid w:val="00EE377D"/>
    <w:rsid w:val="00EE726C"/>
    <w:rsid w:val="00F257F0"/>
    <w:rsid w:val="00F34E99"/>
    <w:rsid w:val="00F411B2"/>
    <w:rsid w:val="00F46661"/>
    <w:rsid w:val="00F5258A"/>
    <w:rsid w:val="00F62243"/>
    <w:rsid w:val="00F67758"/>
    <w:rsid w:val="00F726D2"/>
    <w:rsid w:val="00F9015C"/>
    <w:rsid w:val="00F970F5"/>
    <w:rsid w:val="00F971EE"/>
    <w:rsid w:val="00FB3B3E"/>
    <w:rsid w:val="00FB4B38"/>
    <w:rsid w:val="00FB4E0A"/>
    <w:rsid w:val="00FC5EFD"/>
    <w:rsid w:val="00FD14BF"/>
    <w:rsid w:val="00FD60E8"/>
    <w:rsid w:val="00FD6D0B"/>
    <w:rsid w:val="00FE6A6E"/>
    <w:rsid w:val="00FF30DF"/>
    <w:rsid w:val="00FF4D13"/>
    <w:rsid w:val="00FF7A9D"/>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B836B"/>
  <w15:chartTrackingRefBased/>
  <w15:docId w15:val="{D7F3C33D-C9B9-46D3-BA4E-D3BB44B6B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0E1"/>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5BF7"/>
    <w:rPr>
      <w:color w:val="0563C1" w:themeColor="hyperlink"/>
      <w:u w:val="single"/>
    </w:rPr>
  </w:style>
  <w:style w:type="character" w:styleId="UnresolvedMention">
    <w:name w:val="Unresolved Mention"/>
    <w:basedOn w:val="DefaultParagraphFont"/>
    <w:uiPriority w:val="99"/>
    <w:semiHidden/>
    <w:unhideWhenUsed/>
    <w:rsid w:val="00305BF7"/>
    <w:rPr>
      <w:color w:val="605E5C"/>
      <w:shd w:val="clear" w:color="auto" w:fill="E1DFDD"/>
    </w:rPr>
  </w:style>
  <w:style w:type="paragraph" w:styleId="ListParagraph">
    <w:name w:val="List Paragraph"/>
    <w:basedOn w:val="Normal"/>
    <w:uiPriority w:val="34"/>
    <w:qFormat/>
    <w:rsid w:val="00636346"/>
    <w:pPr>
      <w:ind w:left="720"/>
      <w:contextualSpacing/>
    </w:pPr>
  </w:style>
  <w:style w:type="paragraph" w:styleId="Header">
    <w:name w:val="header"/>
    <w:basedOn w:val="Normal"/>
    <w:link w:val="HeaderChar"/>
    <w:uiPriority w:val="99"/>
    <w:unhideWhenUsed/>
    <w:rsid w:val="00716DAB"/>
    <w:pPr>
      <w:tabs>
        <w:tab w:val="center" w:pos="4677"/>
        <w:tab w:val="right" w:pos="9355"/>
      </w:tabs>
      <w:spacing w:after="0" w:line="240" w:lineRule="auto"/>
    </w:pPr>
  </w:style>
  <w:style w:type="character" w:customStyle="1" w:styleId="HeaderChar">
    <w:name w:val="Header Char"/>
    <w:basedOn w:val="DefaultParagraphFont"/>
    <w:link w:val="Header"/>
    <w:uiPriority w:val="99"/>
    <w:rsid w:val="00716DAB"/>
    <w:rPr>
      <w:kern w:val="0"/>
      <w:lang w:val="en-US"/>
      <w14:ligatures w14:val="none"/>
    </w:rPr>
  </w:style>
  <w:style w:type="paragraph" w:styleId="Footer">
    <w:name w:val="footer"/>
    <w:basedOn w:val="Normal"/>
    <w:link w:val="FooterChar"/>
    <w:uiPriority w:val="99"/>
    <w:unhideWhenUsed/>
    <w:rsid w:val="00716DAB"/>
    <w:pPr>
      <w:tabs>
        <w:tab w:val="center" w:pos="4677"/>
        <w:tab w:val="right" w:pos="9355"/>
      </w:tabs>
      <w:spacing w:after="0" w:line="240" w:lineRule="auto"/>
    </w:pPr>
  </w:style>
  <w:style w:type="character" w:customStyle="1" w:styleId="FooterChar">
    <w:name w:val="Footer Char"/>
    <w:basedOn w:val="DefaultParagraphFont"/>
    <w:link w:val="Footer"/>
    <w:uiPriority w:val="99"/>
    <w:rsid w:val="00716DAB"/>
    <w:rPr>
      <w:kern w:val="0"/>
      <w:lang w:val="en-US"/>
      <w14:ligatures w14:val="none"/>
    </w:rPr>
  </w:style>
  <w:style w:type="paragraph" w:styleId="Revision">
    <w:name w:val="Revision"/>
    <w:hidden/>
    <w:uiPriority w:val="99"/>
    <w:semiHidden/>
    <w:rsid w:val="00422F16"/>
    <w:pPr>
      <w:spacing w:after="0" w:line="240" w:lineRule="auto"/>
    </w:pPr>
    <w:rPr>
      <w:kern w:val="0"/>
      <w:lang w:val="en-US"/>
      <w14:ligatures w14:val="none"/>
    </w:rPr>
  </w:style>
  <w:style w:type="character" w:styleId="CommentReference">
    <w:name w:val="annotation reference"/>
    <w:basedOn w:val="DefaultParagraphFont"/>
    <w:uiPriority w:val="99"/>
    <w:semiHidden/>
    <w:unhideWhenUsed/>
    <w:rsid w:val="00C40199"/>
    <w:rPr>
      <w:sz w:val="16"/>
      <w:szCs w:val="16"/>
    </w:rPr>
  </w:style>
  <w:style w:type="paragraph" w:styleId="CommentText">
    <w:name w:val="annotation text"/>
    <w:basedOn w:val="Normal"/>
    <w:link w:val="CommentTextChar"/>
    <w:uiPriority w:val="99"/>
    <w:unhideWhenUsed/>
    <w:rsid w:val="00C40199"/>
    <w:pPr>
      <w:spacing w:line="240" w:lineRule="auto"/>
    </w:pPr>
    <w:rPr>
      <w:sz w:val="20"/>
      <w:szCs w:val="20"/>
    </w:rPr>
  </w:style>
  <w:style w:type="character" w:customStyle="1" w:styleId="CommentTextChar">
    <w:name w:val="Comment Text Char"/>
    <w:basedOn w:val="DefaultParagraphFont"/>
    <w:link w:val="CommentText"/>
    <w:uiPriority w:val="99"/>
    <w:rsid w:val="00C40199"/>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40199"/>
    <w:rPr>
      <w:b/>
      <w:bCs/>
    </w:rPr>
  </w:style>
  <w:style w:type="character" w:customStyle="1" w:styleId="CommentSubjectChar">
    <w:name w:val="Comment Subject Char"/>
    <w:basedOn w:val="CommentTextChar"/>
    <w:link w:val="CommentSubject"/>
    <w:uiPriority w:val="99"/>
    <w:semiHidden/>
    <w:rsid w:val="00C40199"/>
    <w:rPr>
      <w:b/>
      <w:bCs/>
      <w:kern w:val="0"/>
      <w:sz w:val="20"/>
      <w:szCs w:val="20"/>
      <w:lang w:val="en-US"/>
      <w14:ligatures w14:val="none"/>
    </w:rPr>
  </w:style>
  <w:style w:type="paragraph" w:customStyle="1" w:styleId="pf0">
    <w:name w:val="pf0"/>
    <w:basedOn w:val="Normal"/>
    <w:rsid w:val="00FF7A9D"/>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cf01">
    <w:name w:val="cf01"/>
    <w:basedOn w:val="DefaultParagraphFont"/>
    <w:rsid w:val="00FF7A9D"/>
    <w:rPr>
      <w:rFonts w:ascii="Segoe UI" w:hAnsi="Segoe UI" w:cs="Segoe UI" w:hint="default"/>
      <w:sz w:val="18"/>
      <w:szCs w:val="18"/>
    </w:rPr>
  </w:style>
  <w:style w:type="paragraph" w:styleId="NormalWeb">
    <w:name w:val="Normal (Web)"/>
    <w:basedOn w:val="Normal"/>
    <w:uiPriority w:val="99"/>
    <w:semiHidden/>
    <w:unhideWhenUsed/>
    <w:rsid w:val="00FF7A9D"/>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cf21">
    <w:name w:val="cf21"/>
    <w:basedOn w:val="DefaultParagraphFont"/>
    <w:rsid w:val="00FF7A9D"/>
    <w:rPr>
      <w:rFonts w:ascii="Segoe UI" w:hAnsi="Segoe UI" w:cs="Segoe UI" w:hint="default"/>
      <w:sz w:val="18"/>
      <w:szCs w:val="18"/>
      <w:shd w:val="clear" w:color="auto" w:fill="FF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554620">
      <w:bodyDiv w:val="1"/>
      <w:marLeft w:val="0"/>
      <w:marRight w:val="0"/>
      <w:marTop w:val="0"/>
      <w:marBottom w:val="0"/>
      <w:divBdr>
        <w:top w:val="none" w:sz="0" w:space="0" w:color="auto"/>
        <w:left w:val="none" w:sz="0" w:space="0" w:color="auto"/>
        <w:bottom w:val="none" w:sz="0" w:space="0" w:color="auto"/>
        <w:right w:val="none" w:sz="0" w:space="0" w:color="auto"/>
      </w:divBdr>
    </w:div>
    <w:div w:id="425883919">
      <w:bodyDiv w:val="1"/>
      <w:marLeft w:val="0"/>
      <w:marRight w:val="0"/>
      <w:marTop w:val="0"/>
      <w:marBottom w:val="0"/>
      <w:divBdr>
        <w:top w:val="none" w:sz="0" w:space="0" w:color="auto"/>
        <w:left w:val="none" w:sz="0" w:space="0" w:color="auto"/>
        <w:bottom w:val="none" w:sz="0" w:space="0" w:color="auto"/>
        <w:right w:val="none" w:sz="0" w:space="0" w:color="auto"/>
      </w:divBdr>
      <w:divsChild>
        <w:div w:id="1352491429">
          <w:marLeft w:val="0"/>
          <w:marRight w:val="0"/>
          <w:marTop w:val="0"/>
          <w:marBottom w:val="0"/>
          <w:divBdr>
            <w:top w:val="none" w:sz="0" w:space="0" w:color="auto"/>
            <w:left w:val="none" w:sz="0" w:space="0" w:color="auto"/>
            <w:bottom w:val="none" w:sz="0" w:space="0" w:color="auto"/>
            <w:right w:val="none" w:sz="0" w:space="0" w:color="auto"/>
          </w:divBdr>
        </w:div>
      </w:divsChild>
    </w:div>
    <w:div w:id="579364854">
      <w:bodyDiv w:val="1"/>
      <w:marLeft w:val="0"/>
      <w:marRight w:val="0"/>
      <w:marTop w:val="0"/>
      <w:marBottom w:val="0"/>
      <w:divBdr>
        <w:top w:val="none" w:sz="0" w:space="0" w:color="auto"/>
        <w:left w:val="none" w:sz="0" w:space="0" w:color="auto"/>
        <w:bottom w:val="none" w:sz="0" w:space="0" w:color="auto"/>
        <w:right w:val="none" w:sz="0" w:space="0" w:color="auto"/>
      </w:divBdr>
      <w:divsChild>
        <w:div w:id="1895114605">
          <w:marLeft w:val="0"/>
          <w:marRight w:val="0"/>
          <w:marTop w:val="0"/>
          <w:marBottom w:val="0"/>
          <w:divBdr>
            <w:top w:val="none" w:sz="0" w:space="0" w:color="auto"/>
            <w:left w:val="none" w:sz="0" w:space="0" w:color="auto"/>
            <w:bottom w:val="none" w:sz="0" w:space="0" w:color="auto"/>
            <w:right w:val="none" w:sz="0" w:space="0" w:color="auto"/>
          </w:divBdr>
          <w:divsChild>
            <w:div w:id="162492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06288">
      <w:bodyDiv w:val="1"/>
      <w:marLeft w:val="0"/>
      <w:marRight w:val="0"/>
      <w:marTop w:val="0"/>
      <w:marBottom w:val="0"/>
      <w:divBdr>
        <w:top w:val="none" w:sz="0" w:space="0" w:color="auto"/>
        <w:left w:val="none" w:sz="0" w:space="0" w:color="auto"/>
        <w:bottom w:val="none" w:sz="0" w:space="0" w:color="auto"/>
        <w:right w:val="none" w:sz="0" w:space="0" w:color="auto"/>
      </w:divBdr>
      <w:divsChild>
        <w:div w:id="128061015">
          <w:marLeft w:val="0"/>
          <w:marRight w:val="0"/>
          <w:marTop w:val="0"/>
          <w:marBottom w:val="0"/>
          <w:divBdr>
            <w:top w:val="none" w:sz="0" w:space="0" w:color="auto"/>
            <w:left w:val="none" w:sz="0" w:space="0" w:color="auto"/>
            <w:bottom w:val="none" w:sz="0" w:space="0" w:color="auto"/>
            <w:right w:val="none" w:sz="0" w:space="0" w:color="auto"/>
          </w:divBdr>
        </w:div>
      </w:divsChild>
    </w:div>
    <w:div w:id="1563953721">
      <w:bodyDiv w:val="1"/>
      <w:marLeft w:val="0"/>
      <w:marRight w:val="0"/>
      <w:marTop w:val="0"/>
      <w:marBottom w:val="0"/>
      <w:divBdr>
        <w:top w:val="none" w:sz="0" w:space="0" w:color="auto"/>
        <w:left w:val="none" w:sz="0" w:space="0" w:color="auto"/>
        <w:bottom w:val="none" w:sz="0" w:space="0" w:color="auto"/>
        <w:right w:val="none" w:sz="0" w:space="0" w:color="auto"/>
      </w:divBdr>
      <w:divsChild>
        <w:div w:id="1285964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eur-lex.europa.eu/legal-content/RO/AUTO/?uri=celex:32020R0873"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itus xmlns="http://schemas.titus.com/TitusProperties/">
  <TitusGUID xmlns="">c4961903-d203-4698-9704-8ab08d75c404</TitusGUID>
  <TitusMetadata xmlns="">eyJucyI6IioiLCJwcm9wcyI6W3sibiI6IkNsYXNpZmljYXJlIiwidmFscyI6W3sidmFsdWUiOiJTUC0yIn1dfV19</TitusMetadata>
</titus>
</file>

<file path=customXml/item4.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3385A0-336C-465A-93A0-5158446AD0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2C8E03-38FF-4FC7-AF7B-D357D341CE35}">
  <ds:schemaRefs>
    <ds:schemaRef ds:uri="http://schemas.microsoft.com/sharepoint/v3/contenttype/forms"/>
  </ds:schemaRefs>
</ds:datastoreItem>
</file>

<file path=customXml/itemProps3.xml><?xml version="1.0" encoding="utf-8"?>
<ds:datastoreItem xmlns:ds="http://schemas.openxmlformats.org/officeDocument/2006/customXml" ds:itemID="{5DBD7FF4-458C-4784-AE03-E270EEAE20E4}">
  <ds:schemaRefs>
    <ds:schemaRef ds:uri="http://schemas.titus.com/TitusProperties/"/>
    <ds:schemaRef ds:uri=""/>
  </ds:schemaRefs>
</ds:datastoreItem>
</file>

<file path=customXml/itemProps4.xml><?xml version="1.0" encoding="utf-8"?>
<ds:datastoreItem xmlns:ds="http://schemas.openxmlformats.org/officeDocument/2006/customXml" ds:itemID="{1CE4D148-EEBE-4F61-9A77-9B9575373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15220</Words>
  <Characters>88279</Characters>
  <Application>Microsoft Office Word</Application>
  <DocSecurity>0</DocSecurity>
  <Lines>735</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dcterms:created xsi:type="dcterms:W3CDTF">2025-06-26T15:28:00Z</dcterms:created>
  <dcterms:modified xsi:type="dcterms:W3CDTF">2025-06-26T15:28:00Z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c4961903-d203-4698-9704-8ab08d75c404</vt:lpwstr>
  </property>
  <property fmtid="{D5CDD505-2E9C-101B-9397-08002B2CF9AE}" pid="3" name="Clasificare">
    <vt:lpwstr>SP-2</vt:lpwstr>
  </property>
  <property fmtid="{D5CDD505-2E9C-101B-9397-08002B2CF9AE}" pid="4" name="ClassificationContentMarkingHeaderShapeIds">
    <vt:lpwstr>5,6,7</vt:lpwstr>
  </property>
  <property fmtid="{D5CDD505-2E9C-101B-9397-08002B2CF9AE}" pid="5" name="ClassificationContentMarkingHeaderFontProps">
    <vt:lpwstr>#000000,12,Calibri</vt:lpwstr>
  </property>
  <property fmtid="{D5CDD505-2E9C-101B-9397-08002B2CF9AE}" pid="6" name="ClassificationContentMarkingHeaderText">
    <vt:lpwstr>SP-2</vt:lpwstr>
  </property>
  <property fmtid="{D5CDD505-2E9C-101B-9397-08002B2CF9AE}" pid="7" name="ClassificationContentMarkingFooterShapeIds">
    <vt:lpwstr>a,b,c</vt:lpwstr>
  </property>
  <property fmtid="{D5CDD505-2E9C-101B-9397-08002B2CF9AE}" pid="8" name="ClassificationContentMarkingFooterFontProps">
    <vt:lpwstr>#000000,8,Calibri</vt:lpwstr>
  </property>
  <property fmtid="{D5CDD505-2E9C-101B-9397-08002B2CF9AE}" pid="9" name="ClassificationContentMarkingFooterText">
    <vt:lpwstr>Atenţie! Se interzice deţinerea, sustragerea, alterarea, multiplicarea, distrugerea sau folosirea  acestui document fără a dispune de drept de acces autorizat.</vt:lpwstr>
  </property>
  <property fmtid="{D5CDD505-2E9C-101B-9397-08002B2CF9AE}" pid="10" name="MSIP_Label_70108aff-3426-4749-9d04-de3a5077dcce_Enabled">
    <vt:lpwstr>true</vt:lpwstr>
  </property>
  <property fmtid="{D5CDD505-2E9C-101B-9397-08002B2CF9AE}" pid="11" name="MSIP_Label_70108aff-3426-4749-9d04-de3a5077dcce_SetDate">
    <vt:lpwstr>2025-01-20T16:14:29Z</vt:lpwstr>
  </property>
  <property fmtid="{D5CDD505-2E9C-101B-9397-08002B2CF9AE}" pid="12" name="MSIP_Label_70108aff-3426-4749-9d04-de3a5077dcce_Method">
    <vt:lpwstr>Privileged</vt:lpwstr>
  </property>
  <property fmtid="{D5CDD505-2E9C-101B-9397-08002B2CF9AE}" pid="13" name="MSIP_Label_70108aff-3426-4749-9d04-de3a5077dcce_Name">
    <vt:lpwstr>SP-2</vt:lpwstr>
  </property>
  <property fmtid="{D5CDD505-2E9C-101B-9397-08002B2CF9AE}" pid="14" name="MSIP_Label_70108aff-3426-4749-9d04-de3a5077dcce_SiteId">
    <vt:lpwstr>5887d430-0034-4561-b771-12c77faf2fa0</vt:lpwstr>
  </property>
  <property fmtid="{D5CDD505-2E9C-101B-9397-08002B2CF9AE}" pid="15" name="MSIP_Label_70108aff-3426-4749-9d04-de3a5077dcce_ActionId">
    <vt:lpwstr>d271127c-245f-436f-914f-e6f1dfd637fa</vt:lpwstr>
  </property>
  <property fmtid="{D5CDD505-2E9C-101B-9397-08002B2CF9AE}" pid="16" name="MSIP_Label_70108aff-3426-4749-9d04-de3a5077dcce_ContentBits">
    <vt:lpwstr>3</vt:lpwstr>
  </property>
  <property fmtid="{D5CDD505-2E9C-101B-9397-08002B2CF9AE}" pid="17" name="ContentTypeId">
    <vt:lpwstr>0x01010041CC8FD9FC602D47942046F00E7457D2</vt:lpwstr>
  </property>
</Properties>
</file>